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INVESTIGATION TOOLKIT  |  JURISDICTION: GENERAL EMPLOYER  |  VERSION 2026.1</w:t>
      </w:r>
    </w:p>
    <w:p>
      <w:pPr>
        <w:spacing w:after="120"/>
      </w:pPr>
      <w:r>
        <w:rPr>
          <w:rFonts w:ascii="Arial" w:cs="Arial" w:eastAsia="Arial" w:hAnsi="Arial"/>
          <w:b/>
          <w:bCs/>
          <w:color w:val="1B3A52"/>
          <w:sz w:val="44"/>
          <w:szCs w:val="44"/>
        </w:rPr>
        <w:t xml:space="preserve">Workplace Investigation Planning Template</w:t>
      </w:r>
    </w:p>
    <w:p>
      <w:pPr>
        <w:spacing w:after="200" w:line="300"/>
      </w:pPr>
      <w:r>
        <w:rPr>
          <w:rFonts w:ascii="Arial" w:cs="Arial" w:eastAsia="Arial" w:hAnsi="Arial"/>
          <w:i/>
          <w:iCs/>
          <w:color w:val="4A5A6A"/>
          <w:sz w:val="22"/>
          <w:szCs w:val="22"/>
        </w:rPr>
        <w:t xml:space="preserve">Plan the investigation before the first interview: allegation, scope, witnesses, evidence, order, and timeline on one page.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template to plan a workplace investigation before anyone is interviewed — so scope, evidence, interview order, and timeline are decided deliberately instead of improvised under pressure.</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When complaint triage routes a matter to formal investigation</w:t>
      </w:r>
    </w:p>
    <w:p>
      <w:pPr>
        <w:pStyle w:val="ListParagraph"/>
        <w:numPr>
          <w:ilvl w:val="0"/>
          <w:numId w:val="2"/>
        </w:numPr>
        <w:spacing w:after="80" w:line="288"/>
      </w:pPr>
      <w:r>
        <w:rPr>
          <w:rFonts w:ascii="Arial" w:cs="Arial" w:eastAsia="Arial" w:hAnsi="Arial"/>
          <w:color w:val="22303C"/>
          <w:sz w:val="21"/>
          <w:szCs w:val="21"/>
        </w:rPr>
        <w:t xml:space="preserve">Before the first witness interview is scheduled</w:t>
      </w:r>
    </w:p>
    <w:p>
      <w:pPr>
        <w:pStyle w:val="ListParagraph"/>
        <w:numPr>
          <w:ilvl w:val="0"/>
          <w:numId w:val="2"/>
        </w:numPr>
        <w:spacing w:after="80" w:line="288"/>
      </w:pPr>
      <w:r>
        <w:rPr>
          <w:rFonts w:ascii="Arial" w:cs="Arial" w:eastAsia="Arial" w:hAnsi="Arial"/>
          <w:color w:val="22303C"/>
          <w:sz w:val="21"/>
          <w:szCs w:val="21"/>
        </w:rPr>
        <w:t xml:space="preserve">When an anonymous report or hotline tip needs structured follow-up</w:t>
      </w:r>
    </w:p>
    <w:p>
      <w:pPr>
        <w:pStyle w:val="ListParagraph"/>
        <w:numPr>
          <w:ilvl w:val="0"/>
          <w:numId w:val="2"/>
        </w:numPr>
        <w:spacing w:after="80" w:line="288"/>
      </w:pPr>
      <w:r>
        <w:rPr>
          <w:rFonts w:ascii="Arial" w:cs="Arial" w:eastAsia="Arial" w:hAnsi="Arial"/>
          <w:color w:val="22303C"/>
          <w:sz w:val="21"/>
          <w:szCs w:val="21"/>
        </w:rPr>
        <w:t xml:space="preserve">When a supervisor is the accused and neutrality must be designed in</w:t>
      </w:r>
    </w:p>
    <w:p>
      <w:pPr>
        <w:pStyle w:val="ListParagraph"/>
        <w:numPr>
          <w:ilvl w:val="0"/>
          <w:numId w:val="2"/>
        </w:numPr>
        <w:spacing w:after="80" w:line="288"/>
      </w:pPr>
      <w:r>
        <w:rPr>
          <w:rFonts w:ascii="Arial" w:cs="Arial" w:eastAsia="Arial" w:hAnsi="Arial"/>
          <w:color w:val="22303C"/>
          <w:sz w:val="21"/>
          <w:szCs w:val="21"/>
        </w:rPr>
        <w:t xml:space="preserve">Before engaging (or deciding not to engage) an outside investigator</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Investigations that expand or shrink based on what's convenient</w:t>
      </w:r>
    </w:p>
    <w:p>
      <w:pPr>
        <w:pStyle w:val="ListParagraph"/>
        <w:numPr>
          <w:ilvl w:val="0"/>
          <w:numId w:val="2"/>
        </w:numPr>
        <w:spacing w:after="80" w:line="288"/>
      </w:pPr>
      <w:r>
        <w:rPr>
          <w:rFonts w:ascii="Arial" w:cs="Arial" w:eastAsia="Arial" w:hAnsi="Arial"/>
          <w:color w:val="22303C"/>
          <w:sz w:val="21"/>
          <w:szCs w:val="21"/>
        </w:rPr>
        <w:t xml:space="preserve">Key witnesses interviewed last — after they've compared stories</w:t>
      </w:r>
    </w:p>
    <w:p>
      <w:pPr>
        <w:pStyle w:val="ListParagraph"/>
        <w:numPr>
          <w:ilvl w:val="0"/>
          <w:numId w:val="2"/>
        </w:numPr>
        <w:spacing w:after="80" w:line="288"/>
      </w:pPr>
      <w:r>
        <w:rPr>
          <w:rFonts w:ascii="Arial" w:cs="Arial" w:eastAsia="Arial" w:hAnsi="Arial"/>
          <w:color w:val="22303C"/>
          <w:sz w:val="21"/>
          <w:szCs w:val="21"/>
        </w:rPr>
        <w:t xml:space="preserve">Evidence lost because nobody preserved it in week one</w:t>
      </w:r>
    </w:p>
    <w:p>
      <w:pPr>
        <w:pStyle w:val="ListParagraph"/>
        <w:numPr>
          <w:ilvl w:val="0"/>
          <w:numId w:val="2"/>
        </w:numPr>
        <w:spacing w:after="80" w:line="288"/>
      </w:pPr>
      <w:r>
        <w:rPr>
          <w:rFonts w:ascii="Arial" w:cs="Arial" w:eastAsia="Arial" w:hAnsi="Arial"/>
          <w:color w:val="22303C"/>
          <w:sz w:val="21"/>
          <w:szCs w:val="21"/>
        </w:rPr>
        <w:t xml:space="preserve">Conclusions that outrun the allegation actually investigated</w:t>
      </w:r>
    </w:p>
    <w:p>
      <w:pPr>
        <w:pStyle w:val="ListParagraph"/>
        <w:numPr>
          <w:ilvl w:val="0"/>
          <w:numId w:val="2"/>
        </w:numPr>
        <w:spacing w:after="80" w:line="288"/>
      </w:pPr>
      <w:r>
        <w:rPr>
          <w:rFonts w:ascii="Arial" w:cs="Arial" w:eastAsia="Arial" w:hAnsi="Arial"/>
          <w:color w:val="22303C"/>
          <w:sz w:val="21"/>
          <w:szCs w:val="21"/>
        </w:rPr>
        <w:t xml:space="preserve">Reports that can't explain why the investigation took three months</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INVESTIGATION PLAN</w:t>
      </w:r>
    </w:p>
    <w:p>
      <w:pPr>
        <w:spacing w:after="160" w:line="288"/>
      </w:pPr>
      <w:r>
        <w:rPr>
          <w:rFonts w:ascii="Arial" w:cs="Arial" w:eastAsia="Arial" w:hAnsi="Arial"/>
          <w:color w:val="4A5A6A"/>
          <w:sz w:val="20"/>
          <w:szCs w:val="20"/>
        </w:rPr>
        <w:t xml:space="preserve">A defensible investigation is prompt, thorough, and impartial — and all three are decided at the planning stage. Complete this template before the first interview.</w:t>
      </w:r>
    </w:p>
    <w:p>
      <w:pPr>
        <w:keepNext/>
        <w:spacing w:after="100" w:before="220"/>
      </w:pPr>
      <w:r>
        <w:rPr>
          <w:rFonts w:ascii="Arial" w:cs="Arial" w:eastAsia="Arial" w:hAnsi="Arial"/>
          <w:b/>
          <w:bCs/>
          <w:color w:val="1B3A52"/>
          <w:sz w:val="22"/>
          <w:szCs w:val="22"/>
        </w:rPr>
        <w:t xml:space="preserve">Part 1 — Allegation Statement</w:t>
      </w:r>
    </w:p>
    <w:p>
      <w:pPr>
        <w:spacing w:after="120" w:line="288"/>
      </w:pPr>
      <w:r>
        <w:rPr>
          <w:rFonts w:ascii="Arial" w:cs="Arial" w:eastAsia="Arial" w:hAnsi="Arial"/>
          <w:color w:val="4A5A6A"/>
          <w:sz w:val="20"/>
          <w:szCs w:val="20"/>
        </w:rPr>
        <w:t xml:space="preserve">State exactly what is alleged: who did what, to whom, when, and what policy or law it would violate if true. This sentence controls the scope of everything that follows.</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spacing w:after="120"/>
      </w:pPr>
      <w:r>
        <w:rPr>
          <w:rFonts w:ascii="Arial" w:cs="Arial" w:eastAsia="Arial" w:hAnsi="Arial"/>
          <w:color w:val="22303C"/>
          <w:sz w:val="8"/>
          <w:szCs w:val="8"/>
        </w:rPr>
        <w:t xml:space="preserve"> </w:t>
      </w:r>
    </w:p>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Scope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In scope (specific incidents, time period, locations)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Out of scope (and who decides if scope must expand)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Policies potentially violated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Investigator assigned (and why they are neutral)</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Who receives the final report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Witness List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3780"/>
        <w:gridCol w:w="1680"/>
        <w:gridCol w:w="2100"/>
      </w:tblGrid>
      <w:tr>
        <w:trPr>
          <w:tblHeader/>
        </w:trPr>
        <w:tc>
          <w:tcPr>
            <w:tcW w:type="dxa" w:w="25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role</w:t>
            </w:r>
          </w:p>
        </w:tc>
        <w:tc>
          <w:tcPr>
            <w:tcW w:type="dxa" w:w="378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What they likely know</w:t>
            </w:r>
          </w:p>
        </w:tc>
        <w:tc>
          <w:tcPr>
            <w:tcW w:type="dxa" w:w="168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Requested by</w:t>
            </w:r>
          </w:p>
        </w:tc>
        <w:tc>
          <w:tcPr>
            <w:tcW w:type="dxa" w:w="210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Interview date</w:t>
            </w:r>
          </w:p>
        </w:tc>
      </w:tr>
      <w:tr>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7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1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7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1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7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1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7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1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7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1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7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1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Evidence List and Preservation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70"/>
        <w:gridCol w:w="2730"/>
        <w:gridCol w:w="1890"/>
        <w:gridCol w:w="1890"/>
      </w:tblGrid>
      <w:tr>
        <w:trPr>
          <w:tblHeader/>
        </w:trPr>
        <w:tc>
          <w:tcPr>
            <w:tcW w:type="dxa" w:w="357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Evidence item</w:t>
            </w:r>
          </w:p>
        </w:tc>
        <w:tc>
          <w:tcPr>
            <w:tcW w:type="dxa" w:w="273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Source / custodian</w:t>
            </w:r>
          </w:p>
        </w:tc>
        <w:tc>
          <w:tcPr>
            <w:tcW w:type="dxa" w:w="189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Preserved? (date)</w:t>
            </w:r>
          </w:p>
        </w:tc>
        <w:tc>
          <w:tcPr>
            <w:tcW w:type="dxa" w:w="189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35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Emails / messages between parties</w:t>
            </w:r>
          </w:p>
        </w:tc>
        <w:tc>
          <w:tcPr>
            <w:tcW w:type="dxa" w:w="27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5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Video, access logs, or system records</w:t>
            </w:r>
          </w:p>
        </w:tc>
        <w:tc>
          <w:tcPr>
            <w:tcW w:type="dxa" w:w="27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5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Personnel files of parties</w:t>
            </w:r>
          </w:p>
        </w:tc>
        <w:tc>
          <w:tcPr>
            <w:tcW w:type="dxa" w:w="27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5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Schedules, timecards, or pay records</w:t>
            </w:r>
          </w:p>
        </w:tc>
        <w:tc>
          <w:tcPr>
            <w:tcW w:type="dxa" w:w="27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5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7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5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7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5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7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5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7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Interview Order</w:t>
      </w:r>
    </w:p>
    <w:p>
      <w:pPr>
        <w:spacing w:after="120" w:line="288"/>
      </w:pPr>
      <w:r>
        <w:rPr>
          <w:rFonts w:ascii="Arial" w:cs="Arial" w:eastAsia="Arial" w:hAnsi="Arial"/>
          <w:color w:val="4A5A6A"/>
          <w:sz w:val="20"/>
          <w:szCs w:val="20"/>
        </w:rPr>
        <w:t xml:space="preserve">Standard order: complainant first, witnesses next, accused last (so the accused can respond to everything). Deviations are fine — but write down why.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45"/>
        <w:gridCol w:w="3255"/>
        <w:gridCol w:w="4200"/>
        <w:gridCol w:w="1680"/>
      </w:tblGrid>
      <w:tr>
        <w:trPr>
          <w:tblHeader/>
        </w:trPr>
        <w:tc>
          <w:tcPr>
            <w:tcW w:type="dxa" w:w="94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Order</w:t>
            </w:r>
          </w:p>
        </w:tc>
        <w:tc>
          <w:tcPr>
            <w:tcW w:type="dxa" w:w="325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Interviewee</w:t>
            </w:r>
          </w:p>
        </w:tc>
        <w:tc>
          <w:tcPr>
            <w:tcW w:type="dxa" w:w="420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Key topics</w:t>
            </w:r>
          </w:p>
        </w:tc>
        <w:tc>
          <w:tcPr>
            <w:tcW w:type="dxa" w:w="168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94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25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4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25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4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25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4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25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4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25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4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25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Timeline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2520"/>
        <w:gridCol w:w="2520"/>
      </w:tblGrid>
      <w:tr>
        <w:trPr>
          <w:tblHeader/>
        </w:trPr>
        <w:tc>
          <w:tcPr>
            <w:tcW w:type="dxa" w:w="504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Milestone</w:t>
            </w:r>
          </w:p>
        </w:tc>
        <w:tc>
          <w:tcPr>
            <w:tcW w:type="dxa" w:w="25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Target date</w:t>
            </w:r>
          </w:p>
        </w:tc>
        <w:tc>
          <w:tcPr>
            <w:tcW w:type="dxa" w:w="25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Actual date</w:t>
            </w:r>
          </w:p>
        </w:tc>
      </w:tr>
      <w:tr>
        <w:tc>
          <w:tcPr>
            <w:tcW w:type="dxa" w:w="50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Investigation opened</w:t>
            </w:r>
          </w:p>
        </w:tc>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50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Evidence preserved</w:t>
            </w:r>
          </w:p>
        </w:tc>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50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Interviews complete</w:t>
            </w:r>
          </w:p>
        </w:tc>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50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Findings drafted</w:t>
            </w:r>
          </w:p>
        </w:tc>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50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briefed</w:t>
            </w:r>
          </w:p>
        </w:tc>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50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Parties informed of outcome</w:t>
            </w:r>
          </w:p>
        </w:tc>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5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7 — Confidentiality Reminder</w:t>
      </w:r>
    </w:p>
    <w:p>
      <w:pPr>
        <w:spacing w:after="120" w:line="300"/>
      </w:pPr>
      <w:r>
        <w:rPr>
          <w:rFonts w:ascii="Arial" w:cs="Arial" w:eastAsia="Arial" w:hAnsi="Arial"/>
          <w:color w:val="22303C"/>
          <w:sz w:val="21"/>
          <w:szCs w:val="21"/>
        </w:rPr>
        <w:t xml:space="preserve">Instruct every participant: information will be shared only with people who need it to conduct or act on the investigation. Do not promise absolute confidentiality. Remind all parties and witnesses that retaliation against anyone who participates is prohibited and will be treated as a separate violation — and document that this instruction was given.</w:t>
      </w:r>
    </w:p>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8 — Report Outline</w:t>
      </w:r>
    </w:p>
    <w:p>
      <w:pPr>
        <w:pStyle w:val="ListParagraph"/>
        <w:numPr>
          <w:ilvl w:val="0"/>
          <w:numId w:val="2"/>
        </w:numPr>
        <w:spacing w:after="80" w:line="288"/>
      </w:pPr>
      <w:r>
        <w:rPr>
          <w:rFonts w:ascii="Arial" w:cs="Arial" w:eastAsia="Arial" w:hAnsi="Arial"/>
          <w:color w:val="22303C"/>
          <w:sz w:val="21"/>
          <w:szCs w:val="21"/>
        </w:rPr>
        <w:t xml:space="preserve">Allegation and scope as investigated</w:t>
      </w:r>
    </w:p>
    <w:p>
      <w:pPr>
        <w:pStyle w:val="ListParagraph"/>
        <w:numPr>
          <w:ilvl w:val="0"/>
          <w:numId w:val="2"/>
        </w:numPr>
        <w:spacing w:after="80" w:line="288"/>
      </w:pPr>
      <w:r>
        <w:rPr>
          <w:rFonts w:ascii="Arial" w:cs="Arial" w:eastAsia="Arial" w:hAnsi="Arial"/>
          <w:color w:val="22303C"/>
          <w:sz w:val="21"/>
          <w:szCs w:val="21"/>
        </w:rPr>
        <w:t xml:space="preserve">Investigation steps: who was interviewed, what was reviewed, and when</w:t>
      </w:r>
    </w:p>
    <w:p>
      <w:pPr>
        <w:pStyle w:val="ListParagraph"/>
        <w:numPr>
          <w:ilvl w:val="0"/>
          <w:numId w:val="2"/>
        </w:numPr>
        <w:spacing w:after="80" w:line="288"/>
      </w:pPr>
      <w:r>
        <w:rPr>
          <w:rFonts w:ascii="Arial" w:cs="Arial" w:eastAsia="Arial" w:hAnsi="Arial"/>
          <w:color w:val="22303C"/>
          <w:sz w:val="21"/>
          <w:szCs w:val="21"/>
        </w:rPr>
        <w:t xml:space="preserve">Factual findings, with credibility notes where accounts conflict</w:t>
      </w:r>
    </w:p>
    <w:p>
      <w:pPr>
        <w:pStyle w:val="ListParagraph"/>
        <w:numPr>
          <w:ilvl w:val="0"/>
          <w:numId w:val="2"/>
        </w:numPr>
        <w:spacing w:after="80" w:line="288"/>
      </w:pPr>
      <w:r>
        <w:rPr>
          <w:rFonts w:ascii="Arial" w:cs="Arial" w:eastAsia="Arial" w:hAnsi="Arial"/>
          <w:color w:val="22303C"/>
          <w:sz w:val="21"/>
          <w:szCs w:val="21"/>
        </w:rPr>
        <w:t xml:space="preserve">Whether each allegation is substantiated, unsubstantiated, or inconclusive — measured against policy, not criminal standards</w:t>
      </w:r>
    </w:p>
    <w:p>
      <w:pPr>
        <w:pStyle w:val="ListParagraph"/>
        <w:numPr>
          <w:ilvl w:val="0"/>
          <w:numId w:val="2"/>
        </w:numPr>
        <w:spacing w:after="80" w:line="288"/>
      </w:pPr>
      <w:r>
        <w:rPr>
          <w:rFonts w:ascii="Arial" w:cs="Arial" w:eastAsia="Arial" w:hAnsi="Arial"/>
          <w:color w:val="22303C"/>
          <w:sz w:val="21"/>
          <w:szCs w:val="21"/>
        </w:rPr>
        <w:t xml:space="preserve">Recommendations kept separate from findings (the decision-maker decides discipline)</w:t>
      </w:r>
    </w:p>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Investigator</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Plan approved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recently complained about pay, harassment, discrimination, safety, leave, or retaliation.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supervisor has no prior documentation.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is inconsistent with how similar cases were handled.</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is on, or recently requested, protected leave.</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issue involves pay, deductions, final wages, medical information, disability, pregnancy, injury, or protected activity.</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will be visible to a board, council, funder, auditor, plaintiff attorney, or agency.</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Interviewing the accused first and educating them on the whole case.</w:t>
      </w:r>
    </w:p>
    <w:p>
      <w:pPr>
        <w:pStyle w:val="ListParagraph"/>
        <w:numPr>
          <w:ilvl w:val="0"/>
          <w:numId w:val="3"/>
        </w:numPr>
        <w:spacing w:after="90" w:line="288"/>
      </w:pPr>
      <w:r>
        <w:rPr>
          <w:rFonts w:ascii="Arial" w:cs="Arial" w:eastAsia="Arial" w:hAnsi="Arial"/>
          <w:color w:val="22303C"/>
          <w:sz w:val="21"/>
          <w:szCs w:val="21"/>
        </w:rPr>
        <w:t xml:space="preserve">Letting the allegation drift — investigating rumors that were never in scope without a documented scope decision.</w:t>
      </w:r>
    </w:p>
    <w:p>
      <w:pPr>
        <w:pStyle w:val="ListParagraph"/>
        <w:numPr>
          <w:ilvl w:val="0"/>
          <w:numId w:val="3"/>
        </w:numPr>
        <w:spacing w:after="90" w:line="288"/>
      </w:pPr>
      <w:r>
        <w:rPr>
          <w:rFonts w:ascii="Arial" w:cs="Arial" w:eastAsia="Arial" w:hAnsi="Arial"/>
          <w:color w:val="22303C"/>
          <w:sz w:val="21"/>
          <w:szCs w:val="21"/>
        </w:rPr>
        <w:t xml:space="preserve">Failing to preserve video or messages in week one, then discovering the retention window was 30 days.</w:t>
      </w:r>
    </w:p>
    <w:p>
      <w:pPr>
        <w:pStyle w:val="ListParagraph"/>
        <w:numPr>
          <w:ilvl w:val="0"/>
          <w:numId w:val="3"/>
        </w:numPr>
        <w:spacing w:after="90" w:line="288"/>
      </w:pPr>
      <w:r>
        <w:rPr>
          <w:rFonts w:ascii="Arial" w:cs="Arial" w:eastAsia="Arial" w:hAnsi="Arial"/>
          <w:color w:val="22303C"/>
          <w:sz w:val="21"/>
          <w:szCs w:val="21"/>
        </w:rPr>
        <w:t xml:space="preserve">Choosing an investigator who reports to the accused.</w:t>
      </w:r>
    </w:p>
    <w:p>
      <w:pPr>
        <w:pStyle w:val="ListParagraph"/>
        <w:numPr>
          <w:ilvl w:val="0"/>
          <w:numId w:val="3"/>
        </w:numPr>
        <w:spacing w:after="90" w:line="288"/>
      </w:pPr>
      <w:r>
        <w:rPr>
          <w:rFonts w:ascii="Arial" w:cs="Arial" w:eastAsia="Arial" w:hAnsi="Arial"/>
          <w:color w:val="22303C"/>
          <w:sz w:val="21"/>
          <w:szCs w:val="21"/>
        </w:rPr>
        <w:t xml:space="preserve">Writing findings that say 'no policy violation' when the finding is really 'conflicting accounts, no corroboration.'</w:t>
      </w:r>
    </w:p>
    <w:p>
      <w:pPr>
        <w:pStyle w:val="ListParagraph"/>
        <w:numPr>
          <w:ilvl w:val="0"/>
          <w:numId w:val="3"/>
        </w:numPr>
        <w:spacing w:after="90" w:line="288"/>
      </w:pPr>
      <w:r>
        <w:rPr>
          <w:rFonts w:ascii="Arial" w:cs="Arial" w:eastAsia="Arial" w:hAnsi="Arial"/>
          <w:color w:val="22303C"/>
          <w:sz w:val="21"/>
          <w:szCs w:val="21"/>
        </w:rPr>
        <w:t xml:space="preserve">Delaying weeks between interviews so witnesses can align stories.</w:t>
      </w:r>
    </w:p>
    <w:p>
      <w:pPr>
        <w:pStyle w:val="ListParagraph"/>
        <w:numPr>
          <w:ilvl w:val="0"/>
          <w:numId w:val="3"/>
        </w:numPr>
        <w:spacing w:after="90" w:line="288"/>
      </w:pPr>
      <w:r>
        <w:rPr>
          <w:rFonts w:ascii="Arial" w:cs="Arial" w:eastAsia="Arial" w:hAnsi="Arial"/>
          <w:color w:val="22303C"/>
          <w:sz w:val="21"/>
          <w:szCs w:val="21"/>
        </w:rPr>
        <w:t xml:space="preserve">Putting discipline recommendations inside the findings, collapsing the investigator and decision-maker roles.</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Once the plan is approved, preserve evidence the same day, schedule interviews using the Witness Interview Question Bank, and log everything in the Investigation Evidence Log. When interviews are complete, draft findings against the report outline and brief the decision-maker — who should be someone other than the investigator.</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Investigation Planning Template | Version 2026.1 | 210.446.8730 | thomas@faulknerhrsolutions.info | faulknerhrsolutions.info/resources/workplace-investigation-planning-template/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COMPLIANCE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Investigation Planning Template</dc:title>
  <dc:creator>Faulkner HR Solutions</dc:creator>
  <dc:description>Plan the investigation before the first interview: allegation, scope, witnesses, evidence, order, and timeline on one page.</dc:description>
  <cp:lastModifiedBy>Un-named</cp:lastModifiedBy>
  <cp:revision>1</cp:revision>
  <dcterms:created xsi:type="dcterms:W3CDTF">2026-07-04T08:16:04.735Z</dcterms:created>
  <dcterms:modified xsi:type="dcterms:W3CDTF">2026-07-04T08:16:04.735Z</dcterms:modified>
</cp:coreProperties>
</file>

<file path=docProps/custom.xml><?xml version="1.0" encoding="utf-8"?>
<Properties xmlns="http://schemas.openxmlformats.org/officeDocument/2006/custom-properties" xmlns:vt="http://schemas.openxmlformats.org/officeDocument/2006/docPropsVTypes"/>
</file>