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FORM PACK  |  JURISDICTION: TEXAS  |  VERSION 2026.1</w:t>
      </w:r>
    </w:p>
    <w:p>
      <w:pPr>
        <w:spacing w:after="120"/>
      </w:pPr>
      <w:r>
        <w:rPr>
          <w:rFonts w:ascii="Arial" w:cs="Arial" w:eastAsia="Arial" w:hAnsi="Arial"/>
          <w:b/>
          <w:bCs/>
          <w:color w:val="1B3A52"/>
          <w:sz w:val="44"/>
          <w:szCs w:val="44"/>
        </w:rPr>
        <w:t xml:space="preserve">Texas Wage Deduction Authorization Form Pack</w:t>
      </w:r>
    </w:p>
    <w:p>
      <w:pPr>
        <w:spacing w:after="200" w:line="300"/>
      </w:pPr>
      <w:r>
        <w:rPr>
          <w:rFonts w:ascii="Arial" w:cs="Arial" w:eastAsia="Arial" w:hAnsi="Arial"/>
          <w:i/>
          <w:iCs/>
          <w:color w:val="4A5A6A"/>
          <w:sz w:val="22"/>
          <w:szCs w:val="22"/>
        </w:rPr>
        <w:t xml:space="preserve">Written authorization forms for equipment, overpayments, and advances — built for the Texas Payday Law's written-consent requirement.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form pack to put lawful, written employee authorizations in place before any wage deduction is taken, so a routine payroll adjustment never becomes a Texas Payday Law violation.</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deducting for equipment, uniforms, tools, or company property</w:t>
      </w:r>
    </w:p>
    <w:p>
      <w:pPr>
        <w:pStyle w:val="ListParagraph"/>
        <w:numPr>
          <w:ilvl w:val="0"/>
          <w:numId w:val="2"/>
        </w:numPr>
        <w:spacing w:after="80" w:line="288"/>
      </w:pPr>
      <w:r>
        <w:rPr>
          <w:rFonts w:ascii="Arial" w:cs="Arial" w:eastAsia="Arial" w:hAnsi="Arial"/>
          <w:color w:val="22303C"/>
          <w:sz w:val="21"/>
          <w:szCs w:val="21"/>
        </w:rPr>
        <w:t xml:space="preserve">When recovering a payroll overpayment</w:t>
      </w:r>
    </w:p>
    <w:p>
      <w:pPr>
        <w:pStyle w:val="ListParagraph"/>
        <w:numPr>
          <w:ilvl w:val="0"/>
          <w:numId w:val="2"/>
        </w:numPr>
        <w:spacing w:after="80" w:line="288"/>
      </w:pPr>
      <w:r>
        <w:rPr>
          <w:rFonts w:ascii="Arial" w:cs="Arial" w:eastAsia="Arial" w:hAnsi="Arial"/>
          <w:color w:val="22303C"/>
          <w:sz w:val="21"/>
          <w:szCs w:val="21"/>
        </w:rPr>
        <w:t xml:space="preserve">When an employee requests or repays a wage advance</w:t>
      </w:r>
    </w:p>
    <w:p>
      <w:pPr>
        <w:pStyle w:val="ListParagraph"/>
        <w:numPr>
          <w:ilvl w:val="0"/>
          <w:numId w:val="2"/>
        </w:numPr>
        <w:spacing w:after="80" w:line="288"/>
      </w:pPr>
      <w:r>
        <w:rPr>
          <w:rFonts w:ascii="Arial" w:cs="Arial" w:eastAsia="Arial" w:hAnsi="Arial"/>
          <w:color w:val="22303C"/>
          <w:sz w:val="21"/>
          <w:szCs w:val="21"/>
        </w:rPr>
        <w:t xml:space="preserve">At hire, when issuing property the employee may later owe for</w:t>
      </w:r>
    </w:p>
    <w:p>
      <w:pPr>
        <w:pStyle w:val="ListParagraph"/>
        <w:numPr>
          <w:ilvl w:val="0"/>
          <w:numId w:val="2"/>
        </w:numPr>
        <w:spacing w:after="80" w:line="288"/>
      </w:pPr>
      <w:r>
        <w:rPr>
          <w:rFonts w:ascii="Arial" w:cs="Arial" w:eastAsia="Arial" w:hAnsi="Arial"/>
          <w:color w:val="22303C"/>
          <w:sz w:val="21"/>
          <w:szCs w:val="21"/>
        </w:rPr>
        <w:t xml:space="preserve">Before final payroll for a separating employee with outstanding items</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Wage claim exposure from deductions taken without written authorization</w:t>
      </w:r>
    </w:p>
    <w:p>
      <w:pPr>
        <w:pStyle w:val="ListParagraph"/>
        <w:numPr>
          <w:ilvl w:val="0"/>
          <w:numId w:val="2"/>
        </w:numPr>
        <w:spacing w:after="80" w:line="288"/>
      </w:pPr>
      <w:r>
        <w:rPr>
          <w:rFonts w:ascii="Arial" w:cs="Arial" w:eastAsia="Arial" w:hAnsi="Arial"/>
          <w:color w:val="22303C"/>
          <w:sz w:val="21"/>
          <w:szCs w:val="21"/>
        </w:rPr>
        <w:t xml:space="preserve">Deductions that drop a nonexempt employee below minimum wage</w:t>
      </w:r>
    </w:p>
    <w:p>
      <w:pPr>
        <w:pStyle w:val="ListParagraph"/>
        <w:numPr>
          <w:ilvl w:val="0"/>
          <w:numId w:val="2"/>
        </w:numPr>
        <w:spacing w:after="80" w:line="288"/>
      </w:pPr>
      <w:r>
        <w:rPr>
          <w:rFonts w:ascii="Arial" w:cs="Arial" w:eastAsia="Arial" w:hAnsi="Arial"/>
          <w:color w:val="22303C"/>
          <w:sz w:val="21"/>
          <w:szCs w:val="21"/>
        </w:rPr>
        <w:t xml:space="preserve">He-said-she-said disputes over verbal repayment agreements</w:t>
      </w:r>
    </w:p>
    <w:p>
      <w:pPr>
        <w:pStyle w:val="ListParagraph"/>
        <w:numPr>
          <w:ilvl w:val="0"/>
          <w:numId w:val="2"/>
        </w:numPr>
        <w:spacing w:after="80" w:line="288"/>
      </w:pPr>
      <w:r>
        <w:rPr>
          <w:rFonts w:ascii="Arial" w:cs="Arial" w:eastAsia="Arial" w:hAnsi="Arial"/>
          <w:color w:val="22303C"/>
          <w:sz w:val="21"/>
          <w:szCs w:val="21"/>
        </w:rPr>
        <w:t xml:space="preserve">Final checks held hostage over unreturned property</w:t>
      </w:r>
    </w:p>
    <w:p>
      <w:pPr>
        <w:pStyle w:val="ListParagraph"/>
        <w:numPr>
          <w:ilvl w:val="0"/>
          <w:numId w:val="2"/>
        </w:numPr>
        <w:spacing w:after="80" w:line="288"/>
      </w:pPr>
      <w:r>
        <w:rPr>
          <w:rFonts w:ascii="Arial" w:cs="Arial" w:eastAsia="Arial" w:hAnsi="Arial"/>
          <w:color w:val="22303C"/>
          <w:sz w:val="21"/>
          <w:szCs w:val="21"/>
        </w:rPr>
        <w:t xml:space="preserve">Inconsistent deduction practices across supervisors and departments</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AUTHORIZATION FORM PACK</w:t>
      </w:r>
    </w:p>
    <w:p>
      <w:pPr>
        <w:spacing w:after="160" w:line="288"/>
      </w:pPr>
      <w:r>
        <w:rPr>
          <w:rFonts w:ascii="Arial" w:cs="Arial" w:eastAsia="Arial" w:hAnsi="Arial"/>
          <w:color w:val="4A5A6A"/>
          <w:sz w:val="20"/>
          <w:szCs w:val="20"/>
        </w:rPr>
        <w:t xml:space="preserve">This pack contains a deduction selector, three authorization forms, and an approval record. Complete only the forms that match the deduction type, and keep signed originals in the payroll file.</w:t>
      </w:r>
    </w:p>
    <w:p>
      <w:pPr>
        <w:keepNext/>
        <w:spacing w:after="100" w:before="220"/>
      </w:pPr>
      <w:r>
        <w:rPr>
          <w:rFonts w:ascii="Arial" w:cs="Arial" w:eastAsia="Arial" w:hAnsi="Arial"/>
          <w:b/>
          <w:bCs/>
          <w:color w:val="1B3A52"/>
          <w:sz w:val="22"/>
          <w:szCs w:val="22"/>
        </w:rPr>
        <w:t xml:space="preserve">Step 1 — Identify the Deduction Type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Applies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Deduction type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Form to complete</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Company property: equipment, uniforms, tools, devices, keys, badges (Form A + B)</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Payroll overpayment recovery (Form A + C)</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Wage advance or loan repayment (Form A + 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Other lawful purpose authorized by the employee in writing (Form A)</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Court-ordered or legally required deduction (no employee authorization needed — document the order)</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Form A — General Wage Deduction Authorization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Job title / department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Deduction description and lawful purpose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Total amount to be deducted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Per-paycheck amount and number of pay periods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First deduction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Form A — Authorization Language</w:t>
      </w:r>
    </w:p>
    <w:p>
      <w:pPr>
        <w:spacing w:after="120" w:line="300"/>
      </w:pPr>
      <w:r>
        <w:rPr>
          <w:rFonts w:ascii="Arial" w:cs="Arial" w:eastAsia="Arial" w:hAnsi="Arial"/>
          <w:color w:val="22303C"/>
          <w:sz w:val="21"/>
          <w:szCs w:val="21"/>
        </w:rPr>
        <w:t xml:space="preserve">I authorize [Employer] to deduct the amount(s) described above from my wages, including my final paycheck if my employment ends before repayment is complete, for the lawful purpose stated. I understand this authorization is voluntary, that I may not be required to sign it as a condition of receiving wages already earned, and that no deduction will reduce my pay below the applicable minimum wage or cut into required overtime compensation. I may revoke this authorization for future deductions in writing, except for amounts already owed under a separate agreement.</w:t>
      </w:r>
    </w:p>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signature</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Employer representative</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received by payroll</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Form B — Equipment / Property Issue Record</w:t>
      </w:r>
    </w:p>
    <w:p>
      <w:pPr>
        <w:spacing w:after="120" w:line="288"/>
      </w:pPr>
      <w:r>
        <w:rPr>
          <w:rFonts w:ascii="Arial" w:cs="Arial" w:eastAsia="Arial" w:hAnsi="Arial"/>
          <w:color w:val="4A5A6A"/>
          <w:sz w:val="20"/>
          <w:szCs w:val="20"/>
        </w:rPr>
        <w:t xml:space="preserve">Complete at issue, not at separation. A deduction for unreturned property is only as strong as the record showing the employee received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52"/>
        <w:gridCol w:w="1521"/>
        <w:gridCol w:w="1711"/>
        <w:gridCol w:w="1711"/>
        <w:gridCol w:w="2285"/>
      </w:tblGrid>
      <w:tr>
        <w:trPr>
          <w:tblHeader/>
        </w:trPr>
        <w:tc>
          <w:tcPr>
            <w:tcW w:type="dxa" w:w="28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Item issued</w:t>
            </w:r>
          </w:p>
        </w:tc>
        <w:tc>
          <w:tcPr>
            <w:tcW w:type="dxa" w:w="15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issued</w:t>
            </w:r>
          </w:p>
        </w:tc>
        <w:tc>
          <w:tcPr>
            <w:tcW w:type="dxa" w:w="17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Condition</w:t>
            </w:r>
          </w:p>
        </w:tc>
        <w:tc>
          <w:tcPr>
            <w:tcW w:type="dxa" w:w="17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Replacement cost</w:t>
            </w:r>
          </w:p>
        </w:tc>
        <w:tc>
          <w:tcPr>
            <w:tcW w:type="dxa" w:w="228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Returned? (date/condition)</w:t>
            </w:r>
          </w:p>
        </w:tc>
      </w:tr>
      <w:tr>
        <w:tc>
          <w:tcPr>
            <w:tcW w:type="dxa" w:w="28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8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8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8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8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8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Form C — Overpayment Recovery Agreement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Pay period(s) in which overpayment occurred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Cause of overpayment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Gross amount overpaid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Repayment schedule agreed with employee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Payroll correction reference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Form D — Wage Advance Repayment Agreement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Advance amount and date issued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Reason for advance (optional)</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Repayment amount per pay period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Final repayment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Balance due if employment ends early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Limits and Approval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Confirmed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Limit check</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Signed written authorization is on file before the first deduction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Deduction will not take a nonexempt employee below minimum wage for items that benefit the employer</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Deduction does not cut into required overtime pay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Deduction schedule is documented and matches payroll setup</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 person with authority approved the deduction (not just the supervisor who wants it)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Payroll setup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Approved by (decision authority)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Taking the deduction first and looking for authorization later.</w:t>
      </w:r>
    </w:p>
    <w:p>
      <w:pPr>
        <w:pStyle w:val="ListParagraph"/>
        <w:numPr>
          <w:ilvl w:val="0"/>
          <w:numId w:val="3"/>
        </w:numPr>
        <w:spacing w:after="90" w:line="288"/>
      </w:pPr>
      <w:r>
        <w:rPr>
          <w:rFonts w:ascii="Arial" w:cs="Arial" w:eastAsia="Arial" w:hAnsi="Arial"/>
          <w:color w:val="22303C"/>
          <w:sz w:val="21"/>
          <w:szCs w:val="21"/>
        </w:rPr>
        <w:t xml:space="preserve">Relying on a handbook acknowledgment instead of a specific, signed deduction authorization.</w:t>
      </w:r>
    </w:p>
    <w:p>
      <w:pPr>
        <w:pStyle w:val="ListParagraph"/>
        <w:numPr>
          <w:ilvl w:val="0"/>
          <w:numId w:val="3"/>
        </w:numPr>
        <w:spacing w:after="90" w:line="288"/>
      </w:pPr>
      <w:r>
        <w:rPr>
          <w:rFonts w:ascii="Arial" w:cs="Arial" w:eastAsia="Arial" w:hAnsi="Arial"/>
          <w:color w:val="22303C"/>
          <w:sz w:val="21"/>
          <w:szCs w:val="21"/>
        </w:rPr>
        <w:t xml:space="preserve">Deducting replacement cost for property with no record the employee ever received the item.</w:t>
      </w:r>
    </w:p>
    <w:p>
      <w:pPr>
        <w:pStyle w:val="ListParagraph"/>
        <w:numPr>
          <w:ilvl w:val="0"/>
          <w:numId w:val="3"/>
        </w:numPr>
        <w:spacing w:after="90" w:line="288"/>
      </w:pPr>
      <w:r>
        <w:rPr>
          <w:rFonts w:ascii="Arial" w:cs="Arial" w:eastAsia="Arial" w:hAnsi="Arial"/>
          <w:color w:val="22303C"/>
          <w:sz w:val="21"/>
          <w:szCs w:val="21"/>
        </w:rPr>
        <w:t xml:space="preserve">Recovering an overpayment in one lump sum that devastates a paycheck and triggers a complaint.</w:t>
      </w:r>
    </w:p>
    <w:p>
      <w:pPr>
        <w:pStyle w:val="ListParagraph"/>
        <w:numPr>
          <w:ilvl w:val="0"/>
          <w:numId w:val="3"/>
        </w:numPr>
        <w:spacing w:after="90" w:line="288"/>
      </w:pPr>
      <w:r>
        <w:rPr>
          <w:rFonts w:ascii="Arial" w:cs="Arial" w:eastAsia="Arial" w:hAnsi="Arial"/>
          <w:color w:val="22303C"/>
          <w:sz w:val="21"/>
          <w:szCs w:val="21"/>
        </w:rPr>
        <w:t xml:space="preserve">Ignoring the minimum wage floor when deducting for items that primarily benefit the employer.</w:t>
      </w:r>
    </w:p>
    <w:p>
      <w:pPr>
        <w:pStyle w:val="ListParagraph"/>
        <w:numPr>
          <w:ilvl w:val="0"/>
          <w:numId w:val="3"/>
        </w:numPr>
        <w:spacing w:after="90" w:line="288"/>
      </w:pPr>
      <w:r>
        <w:rPr>
          <w:rFonts w:ascii="Arial" w:cs="Arial" w:eastAsia="Arial" w:hAnsi="Arial"/>
          <w:color w:val="22303C"/>
          <w:sz w:val="21"/>
          <w:szCs w:val="21"/>
        </w:rPr>
        <w:t xml:space="preserve">Letting each supervisor negotiate their own verbal repayment deals.</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File signed originals in the payroll file, give the employee a copy, set up the deduction schedule in payroll exactly as authorized, and calendar a check on the final deduction date. If the employee separates mid-repayment, route the balance through the Texas Final Pay Decision Packet before touching the last check.</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Texas Wage Deduction Form Pack | Version 2026.1 | 210.446.8730 | thomas@faulknerhrsolutions.info | faulknerhrsolutions.info/resources/texas-wage-deduction-authorization-form-pack/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Wage Deduction Authorization Form Pack</dc:title>
  <dc:creator>Faulkner HR Solutions</dc:creator>
  <dc:description>Written authorization forms for equipment, overpayments, and advances — built for the Texas Payday Law's written-consent requirement.</dc:description>
  <cp:lastModifiedBy>Un-named</cp:lastModifiedBy>
  <cp:revision>1</cp:revision>
  <dcterms:created xsi:type="dcterms:W3CDTF">2026-07-04T08:16:04.153Z</dcterms:created>
  <dcterms:modified xsi:type="dcterms:W3CDTF">2026-07-04T08:16:04.154Z</dcterms:modified>
</cp:coreProperties>
</file>

<file path=docProps/custom.xml><?xml version="1.0" encoding="utf-8"?>
<Properties xmlns="http://schemas.openxmlformats.org/officeDocument/2006/custom-properties" xmlns:vt="http://schemas.openxmlformats.org/officeDocument/2006/docPropsVTypes"/>
</file>