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EVIDENCE PACKET  |  JURISDICTION: TEXAS  |  VERSION 2026.1</w:t>
      </w:r>
    </w:p>
    <w:p>
      <w:pPr>
        <w:spacing w:after="120"/>
      </w:pPr>
      <w:r>
        <w:rPr>
          <w:rFonts w:ascii="Arial" w:cs="Arial" w:eastAsia="Arial" w:hAnsi="Arial"/>
          <w:b/>
          <w:bCs/>
          <w:color w:val="1B3A52"/>
          <w:sz w:val="44"/>
          <w:szCs w:val="44"/>
        </w:rPr>
        <w:t xml:space="preserve">Texas Unemployment Claim Response Evidence Packet</w:t>
      </w:r>
    </w:p>
    <w:p>
      <w:pPr>
        <w:spacing w:after="200" w:line="300"/>
      </w:pPr>
      <w:r>
        <w:rPr>
          <w:rFonts w:ascii="Arial" w:cs="Arial" w:eastAsia="Arial" w:hAnsi="Arial"/>
          <w:i/>
          <w:iCs/>
          <w:color w:val="4A5A6A"/>
          <w:sz w:val="22"/>
          <w:szCs w:val="22"/>
        </w:rPr>
        <w:t xml:space="preserve">For Texas employers assembling a complete, consistent, on-time response to a TWC unemployment claim.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packet to organize the separation story, supporting documents, and witnesses into a single evidence file before you respond to a Texas Workforce Commission unemployment claim — and before the response deadline passes.</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Within 24 hours of receiving a TWC Notice of Application for Unemployment Benefits</w:t>
      </w:r>
    </w:p>
    <w:p>
      <w:pPr>
        <w:pStyle w:val="ListParagraph"/>
        <w:numPr>
          <w:ilvl w:val="0"/>
          <w:numId w:val="2"/>
        </w:numPr>
        <w:spacing w:after="80" w:line="288"/>
      </w:pPr>
      <w:r>
        <w:rPr>
          <w:rFonts w:ascii="Arial" w:cs="Arial" w:eastAsia="Arial" w:hAnsi="Arial"/>
          <w:color w:val="22303C"/>
          <w:sz w:val="21"/>
          <w:szCs w:val="21"/>
        </w:rPr>
        <w:t xml:space="preserve">Before writing any response or calling TWC back</w:t>
      </w:r>
    </w:p>
    <w:p>
      <w:pPr>
        <w:pStyle w:val="ListParagraph"/>
        <w:numPr>
          <w:ilvl w:val="0"/>
          <w:numId w:val="2"/>
        </w:numPr>
        <w:spacing w:after="80" w:line="288"/>
      </w:pPr>
      <w:r>
        <w:rPr>
          <w:rFonts w:ascii="Arial" w:cs="Arial" w:eastAsia="Arial" w:hAnsi="Arial"/>
          <w:color w:val="22303C"/>
          <w:sz w:val="21"/>
          <w:szCs w:val="21"/>
        </w:rPr>
        <w:t xml:space="preserve">When preparing for an unemployment appeal hearing</w:t>
      </w:r>
    </w:p>
    <w:p>
      <w:pPr>
        <w:pStyle w:val="ListParagraph"/>
        <w:numPr>
          <w:ilvl w:val="0"/>
          <w:numId w:val="2"/>
        </w:numPr>
        <w:spacing w:after="80" w:line="288"/>
      </w:pPr>
      <w:r>
        <w:rPr>
          <w:rFonts w:ascii="Arial" w:cs="Arial" w:eastAsia="Arial" w:hAnsi="Arial"/>
          <w:color w:val="22303C"/>
          <w:sz w:val="21"/>
          <w:szCs w:val="21"/>
        </w:rPr>
        <w:t xml:space="preserve">Before deciding whether to contest a claim at all</w:t>
      </w:r>
    </w:p>
    <w:p>
      <w:pPr>
        <w:pStyle w:val="ListParagraph"/>
        <w:numPr>
          <w:ilvl w:val="0"/>
          <w:numId w:val="2"/>
        </w:numPr>
        <w:spacing w:after="80" w:line="288"/>
      </w:pPr>
      <w:r>
        <w:rPr>
          <w:rFonts w:ascii="Arial" w:cs="Arial" w:eastAsia="Arial" w:hAnsi="Arial"/>
          <w:color w:val="22303C"/>
          <w:sz w:val="21"/>
          <w:szCs w:val="21"/>
        </w:rPr>
        <w:t xml:space="preserve">When the separation reason was misconduct and you must prove it</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Unemployment chargeback risk from missed deadlines and thin responses</w:t>
      </w:r>
    </w:p>
    <w:p>
      <w:pPr>
        <w:pStyle w:val="ListParagraph"/>
        <w:numPr>
          <w:ilvl w:val="0"/>
          <w:numId w:val="2"/>
        </w:numPr>
        <w:spacing w:after="80" w:line="288"/>
      </w:pPr>
      <w:r>
        <w:rPr>
          <w:rFonts w:ascii="Arial" w:cs="Arial" w:eastAsia="Arial" w:hAnsi="Arial"/>
          <w:color w:val="22303C"/>
          <w:sz w:val="21"/>
          <w:szCs w:val="21"/>
        </w:rPr>
        <w:t xml:space="preserve">Responses that contradict the termination paperwork and haunt later litigation</w:t>
      </w:r>
    </w:p>
    <w:p>
      <w:pPr>
        <w:pStyle w:val="ListParagraph"/>
        <w:numPr>
          <w:ilvl w:val="0"/>
          <w:numId w:val="2"/>
        </w:numPr>
        <w:spacing w:after="80" w:line="288"/>
      </w:pPr>
      <w:r>
        <w:rPr>
          <w:rFonts w:ascii="Arial" w:cs="Arial" w:eastAsia="Arial" w:hAnsi="Arial"/>
          <w:color w:val="22303C"/>
          <w:sz w:val="21"/>
          <w:szCs w:val="21"/>
        </w:rPr>
        <w:t xml:space="preserve">'Misconduct' arguments with no final incident, no policy, and no warnings attached</w:t>
      </w:r>
    </w:p>
    <w:p>
      <w:pPr>
        <w:pStyle w:val="ListParagraph"/>
        <w:numPr>
          <w:ilvl w:val="0"/>
          <w:numId w:val="2"/>
        </w:numPr>
        <w:spacing w:after="80" w:line="288"/>
      </w:pPr>
      <w:r>
        <w:rPr>
          <w:rFonts w:ascii="Arial" w:cs="Arial" w:eastAsia="Arial" w:hAnsi="Arial"/>
          <w:color w:val="22303C"/>
          <w:sz w:val="21"/>
          <w:szCs w:val="21"/>
        </w:rPr>
        <w:t xml:space="preserve">Witnesses identified for the first time at the appeal hearing</w:t>
      </w:r>
    </w:p>
    <w:p>
      <w:pPr>
        <w:pStyle w:val="ListParagraph"/>
        <w:numPr>
          <w:ilvl w:val="0"/>
          <w:numId w:val="2"/>
        </w:numPr>
        <w:spacing w:after="80" w:line="288"/>
      </w:pPr>
      <w:r>
        <w:rPr>
          <w:rFonts w:ascii="Arial" w:cs="Arial" w:eastAsia="Arial" w:hAnsi="Arial"/>
          <w:color w:val="22303C"/>
          <w:sz w:val="21"/>
          <w:szCs w:val="21"/>
        </w:rPr>
        <w:t xml:space="preserve">Contesting claims you cannot win — and creating a record while losing them</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CLAIM RESPONSE EVIDENCE PACKET</w:t>
      </w:r>
    </w:p>
    <w:p>
      <w:pPr>
        <w:spacing w:after="160" w:line="288"/>
      </w:pPr>
      <w:r>
        <w:rPr>
          <w:rFonts w:ascii="Arial" w:cs="Arial" w:eastAsia="Arial" w:hAnsi="Arial"/>
          <w:color w:val="4A5A6A"/>
          <w:sz w:val="20"/>
          <w:szCs w:val="20"/>
        </w:rPr>
        <w:t xml:space="preserve">Everything you tell TWC becomes a permanent record. Build the evidence file first, then write the response from the file — never the other way around.</w:t>
      </w:r>
    </w:p>
    <w:p>
      <w:pPr>
        <w:keepNext/>
        <w:spacing w:after="100" w:before="220"/>
      </w:pPr>
      <w:r>
        <w:rPr>
          <w:rFonts w:ascii="Arial" w:cs="Arial" w:eastAsia="Arial" w:hAnsi="Arial"/>
          <w:b/>
          <w:bCs/>
          <w:color w:val="1B3A52"/>
          <w:sz w:val="22"/>
          <w:szCs w:val="22"/>
        </w:rPr>
        <w:t xml:space="preserve">Part 1 — Claim Snapshot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Claimant name and last position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TWC notice received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TWC response deadline (calendar this now)</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Last day worked / separation date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Separation reason as stated on internal paperwork</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Person who will submit the response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Separation Reason and Classification</w:t>
      </w:r>
    </w:p>
    <w:p>
      <w:pPr>
        <w:spacing w:after="120" w:line="288"/>
      </w:pPr>
      <w:r>
        <w:rPr>
          <w:rFonts w:ascii="Arial" w:cs="Arial" w:eastAsia="Arial" w:hAnsi="Arial"/>
          <w:color w:val="4A5A6A"/>
          <w:sz w:val="20"/>
          <w:szCs w:val="20"/>
        </w:rPr>
        <w:t xml:space="preserve">Benefits usually turn on one question: did the claimant quit without good cause connected to the work, or was the claimant discharged for misconduct connected to the work? Pick the honest classification and stick to it everywhere.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Applies</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Classification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Facts supporting it</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Voluntary quit — employee ended the relationship</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Discharge for misconduct — policy violation, mismanagement of position, or disregard of employer's interests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Discharge without misconduct — performance, fit, or business reasons (benefits likely payable)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Layoff / reduction in force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Job abandonment — verify against the communication history before using this label</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Separation Timeline</w:t>
      </w:r>
    </w:p>
    <w:p>
      <w:pPr>
        <w:spacing w:after="120" w:line="288"/>
      </w:pPr>
      <w:r>
        <w:rPr>
          <w:rFonts w:ascii="Arial" w:cs="Arial" w:eastAsia="Arial" w:hAnsi="Arial"/>
          <w:color w:val="4A5A6A"/>
          <w:sz w:val="20"/>
          <w:szCs w:val="20"/>
        </w:rPr>
        <w:t xml:space="preserve">List events in order, each tied to a document. Gaps and contradictions here are what claim examiners and hearing officers notice first.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80"/>
        <w:gridCol w:w="5280"/>
        <w:gridCol w:w="3120"/>
      </w:tblGrid>
      <w:tr>
        <w:trPr>
          <w:tblHeader/>
        </w:trPr>
        <w:tc>
          <w:tcPr>
            <w:tcW w:type="dxa" w:w="16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52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Event</w:t>
            </w:r>
          </w:p>
        </w:tc>
        <w:tc>
          <w:tcPr>
            <w:tcW w:type="dxa" w:w="31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Supporting document (index #)</w:t>
            </w:r>
          </w:p>
        </w:tc>
      </w:tr>
      <w:tr>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2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2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2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2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2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2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52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Policy Violated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Policy or rule violated (exact handbook section)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How the employee knew the policy (handbook receipt, training, prior warning)</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of the employee's signed policy acknowledgment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How the same policy has been enforced with other employees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Prior Warnings and Discipline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11"/>
        <w:gridCol w:w="2217"/>
        <w:gridCol w:w="2620"/>
        <w:gridCol w:w="1814"/>
        <w:gridCol w:w="2018"/>
      </w:tblGrid>
      <w:tr>
        <w:trPr>
          <w:tblHeader/>
        </w:trPr>
        <w:tc>
          <w:tcPr>
            <w:tcW w:type="dxa" w:w="141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221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Type (verbal, written, final)</w:t>
            </w:r>
          </w:p>
        </w:tc>
        <w:tc>
          <w:tcPr>
            <w:tcW w:type="dxa" w:w="26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Issue</w:t>
            </w:r>
          </w:p>
        </w:tc>
        <w:tc>
          <w:tcPr>
            <w:tcW w:type="dxa" w:w="181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Issued by</w:t>
            </w:r>
          </w:p>
        </w:tc>
        <w:tc>
          <w:tcPr>
            <w:tcW w:type="dxa" w:w="2018"/>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Employee response</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6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Final Incident Summary</w:t>
      </w:r>
    </w:p>
    <w:p>
      <w:pPr>
        <w:spacing w:after="120" w:line="288"/>
      </w:pPr>
      <w:r>
        <w:rPr>
          <w:rFonts w:ascii="Arial" w:cs="Arial" w:eastAsia="Arial" w:hAnsi="Arial"/>
          <w:color w:val="4A5A6A"/>
          <w:sz w:val="20"/>
          <w:szCs w:val="20"/>
        </w:rPr>
        <w:t xml:space="preserve">Describe the specific final incident that triggered the separation: what happened, when, who saw it, and what policy it violated. For misconduct cases, TWC focuses heavily on the final incident — write it factually, without conclusions like 'bad attitude.'</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spacing w:after="120"/>
      </w:pPr>
      <w:r>
        <w:rPr>
          <w:rFonts w:ascii="Arial" w:cs="Arial" w:eastAsia="Arial" w:hAnsi="Arial"/>
          <w:color w:val="22303C"/>
          <w:sz w:val="8"/>
          <w:szCs w:val="8"/>
        </w:rPr>
        <w:t xml:space="preserve"> </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7 — Witness List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120"/>
        <w:gridCol w:w="4559"/>
        <w:gridCol w:w="2401"/>
      </w:tblGrid>
      <w:tr>
        <w:trPr>
          <w:tblHeader/>
        </w:trPr>
        <w:tc>
          <w:tcPr>
            <w:tcW w:type="dxa" w:w="312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Witness name / role</w:t>
            </w:r>
          </w:p>
        </w:tc>
        <w:tc>
          <w:tcPr>
            <w:tcW w:type="dxa" w:w="455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What they personally observed</w:t>
            </w:r>
          </w:p>
        </w:tc>
        <w:tc>
          <w:tcPr>
            <w:tcW w:type="dxa" w:w="240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Available for hearing?</w:t>
            </w:r>
          </w:p>
        </w:tc>
      </w:tr>
      <w:tr>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55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0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55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0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55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0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12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55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0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8 — Evidence Index</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50"/>
        <w:gridCol w:w="4200"/>
        <w:gridCol w:w="1680"/>
        <w:gridCol w:w="3150"/>
      </w:tblGrid>
      <w:tr>
        <w:trPr>
          <w:tblHeader/>
        </w:trPr>
        <w:tc>
          <w:tcPr>
            <w:tcW w:type="dxa" w:w="105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Index #</w:t>
            </w:r>
          </w:p>
        </w:tc>
        <w:tc>
          <w:tcPr>
            <w:tcW w:type="dxa" w:w="420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Document</w:t>
            </w:r>
          </w:p>
        </w:tc>
        <w:tc>
          <w:tcPr>
            <w:tcW w:type="dxa" w:w="168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315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Location / custodian</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0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8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Packet prepared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Response reviewed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Submitted to TWC (date/method)</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Missing the TWC response deadline and losing party-of-interest rights over a claim you could have won.</w:t>
      </w:r>
    </w:p>
    <w:p>
      <w:pPr>
        <w:pStyle w:val="ListParagraph"/>
        <w:numPr>
          <w:ilvl w:val="0"/>
          <w:numId w:val="3"/>
        </w:numPr>
        <w:spacing w:after="90" w:line="288"/>
      </w:pPr>
      <w:r>
        <w:rPr>
          <w:rFonts w:ascii="Arial" w:cs="Arial" w:eastAsia="Arial" w:hAnsi="Arial"/>
          <w:color w:val="22303C"/>
          <w:sz w:val="21"/>
          <w:szCs w:val="21"/>
        </w:rPr>
        <w:t xml:space="preserve">Writing 'terminated for poor performance' to TWC when the file says 'position eliminated' — inconsistency is remembered forever.</w:t>
      </w:r>
    </w:p>
    <w:p>
      <w:pPr>
        <w:pStyle w:val="ListParagraph"/>
        <w:numPr>
          <w:ilvl w:val="0"/>
          <w:numId w:val="3"/>
        </w:numPr>
        <w:spacing w:after="90" w:line="288"/>
      </w:pPr>
      <w:r>
        <w:rPr>
          <w:rFonts w:ascii="Arial" w:cs="Arial" w:eastAsia="Arial" w:hAnsi="Arial"/>
          <w:color w:val="22303C"/>
          <w:sz w:val="21"/>
          <w:szCs w:val="21"/>
        </w:rPr>
        <w:t xml:space="preserve">Arguing misconduct with no final incident, no policy citation, and no prior warnings attached.</w:t>
      </w:r>
    </w:p>
    <w:p>
      <w:pPr>
        <w:pStyle w:val="ListParagraph"/>
        <w:numPr>
          <w:ilvl w:val="0"/>
          <w:numId w:val="3"/>
        </w:numPr>
        <w:spacing w:after="90" w:line="288"/>
      </w:pPr>
      <w:r>
        <w:rPr>
          <w:rFonts w:ascii="Arial" w:cs="Arial" w:eastAsia="Arial" w:hAnsi="Arial"/>
          <w:color w:val="22303C"/>
          <w:sz w:val="21"/>
          <w:szCs w:val="21"/>
        </w:rPr>
        <w:t xml:space="preserve">Calling a quit 'job abandonment' without checking texts, calls, and voicemail history.</w:t>
      </w:r>
    </w:p>
    <w:p>
      <w:pPr>
        <w:pStyle w:val="ListParagraph"/>
        <w:numPr>
          <w:ilvl w:val="0"/>
          <w:numId w:val="3"/>
        </w:numPr>
        <w:spacing w:after="90" w:line="288"/>
      </w:pPr>
      <w:r>
        <w:rPr>
          <w:rFonts w:ascii="Arial" w:cs="Arial" w:eastAsia="Arial" w:hAnsi="Arial"/>
          <w:color w:val="22303C"/>
          <w:sz w:val="21"/>
          <w:szCs w:val="21"/>
        </w:rPr>
        <w:t xml:space="preserve">Sending the entire personnel file instead of an indexed set of relevant documents.</w:t>
      </w:r>
    </w:p>
    <w:p>
      <w:pPr>
        <w:pStyle w:val="ListParagraph"/>
        <w:numPr>
          <w:ilvl w:val="0"/>
          <w:numId w:val="3"/>
        </w:numPr>
        <w:spacing w:after="90" w:line="288"/>
      </w:pPr>
      <w:r>
        <w:rPr>
          <w:rFonts w:ascii="Arial" w:cs="Arial" w:eastAsia="Arial" w:hAnsi="Arial"/>
          <w:color w:val="22303C"/>
          <w:sz w:val="21"/>
          <w:szCs w:val="21"/>
        </w:rPr>
        <w:t xml:space="preserve">Treating the unemployment response as clerical work rather than sworn-quality testimony that can surface in later litigation.</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Write the TWC response directly from this packet, submit it before the deadline by a trackable method, file the packet with the separation record, and calendar the appeal window. If the claim involves any protected-activity history, get the response reviewed before submission.</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TX Unemployment Claim Packet | Version 2026.1 | 210.446.8730 | thomas@faulknerhrsolutions.info | faulknerhrsolutions.info/resources/texas-unemployment-claim-response-evidence-packet/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Unemployment Claim Response Evidence Packet</dc:title>
  <dc:creator>Faulkner HR Solutions</dc:creator>
  <dc:description>For Texas employers assembling a complete, consistent, on-time response to a TWC unemployment claim.</dc:description>
  <cp:lastModifiedBy>Un-named</cp:lastModifiedBy>
  <cp:revision>1</cp:revision>
  <dcterms:created xsi:type="dcterms:W3CDTF">2026-07-04T08:16:04.243Z</dcterms:created>
  <dcterms:modified xsi:type="dcterms:W3CDTF">2026-07-04T08:16:04.243Z</dcterms:modified>
</cp:coreProperties>
</file>

<file path=docProps/custom.xml><?xml version="1.0" encoding="utf-8"?>
<Properties xmlns="http://schemas.openxmlformats.org/officeDocument/2006/custom-properties" xmlns:vt="http://schemas.openxmlformats.org/officeDocument/2006/docPropsVTypes"/>
</file>