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EMPLOYER DECISION WORKSHEET  |  JURISDICTION: TEXAS  |  VERSION 2026.1</w:t>
      </w:r>
    </w:p>
    <w:p>
      <w:pPr>
        <w:spacing w:after="120"/>
      </w:pPr>
      <w:r>
        <w:rPr>
          <w:rFonts w:ascii="Arial" w:cs="Arial" w:eastAsia="Arial" w:hAnsi="Arial"/>
          <w:b/>
          <w:bCs/>
          <w:color w:val="1B3A52"/>
          <w:sz w:val="44"/>
          <w:szCs w:val="44"/>
        </w:rPr>
        <w:t xml:space="preserve">Termination Risk Review Worksheet</w:t>
      </w:r>
    </w:p>
    <w:p>
      <w:pPr>
        <w:spacing w:after="200" w:line="300"/>
      </w:pPr>
      <w:r>
        <w:rPr>
          <w:rFonts w:ascii="Arial" w:cs="Arial" w:eastAsia="Arial" w:hAnsi="Arial"/>
          <w:i/>
          <w:iCs/>
          <w:color w:val="4A5A6A"/>
          <w:sz w:val="22"/>
          <w:szCs w:val="22"/>
        </w:rPr>
        <w:t xml:space="preserve">A pre-termination screen for Texas employers: protected activity, consistency, documentation, authority, and alternatives — before the decision is final.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worksheet before any termination is communicated to confirm the decision is documented, consistent, lawful, and made by someone with actual authority — while there is still time to change course.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communicating any involuntary termination</w:t>
      </w:r>
    </w:p>
    <w:p>
      <w:pPr>
        <w:pStyle w:val="ListParagraph"/>
        <w:numPr>
          <w:ilvl w:val="0"/>
          <w:numId w:val="2"/>
        </w:numPr>
        <w:spacing w:after="80" w:line="288"/>
      </w:pPr>
      <w:r>
        <w:rPr>
          <w:rFonts w:ascii="Arial" w:cs="Arial" w:eastAsia="Arial" w:hAnsi="Arial"/>
          <w:color w:val="22303C"/>
          <w:sz w:val="21"/>
          <w:szCs w:val="21"/>
        </w:rPr>
        <w:t xml:space="preserve">When a supervisor says 'we need to fire this person today'</w:t>
      </w:r>
    </w:p>
    <w:p>
      <w:pPr>
        <w:pStyle w:val="ListParagraph"/>
        <w:numPr>
          <w:ilvl w:val="0"/>
          <w:numId w:val="2"/>
        </w:numPr>
        <w:spacing w:after="80" w:line="288"/>
      </w:pPr>
      <w:r>
        <w:rPr>
          <w:rFonts w:ascii="Arial" w:cs="Arial" w:eastAsia="Arial" w:hAnsi="Arial"/>
          <w:color w:val="22303C"/>
          <w:sz w:val="21"/>
          <w:szCs w:val="21"/>
        </w:rPr>
        <w:t xml:space="preserve">Before termination of anyone who recently complained, was injured, or took leave</w:t>
      </w:r>
    </w:p>
    <w:p>
      <w:pPr>
        <w:pStyle w:val="ListParagraph"/>
        <w:numPr>
          <w:ilvl w:val="0"/>
          <w:numId w:val="2"/>
        </w:numPr>
        <w:spacing w:after="80" w:line="288"/>
      </w:pPr>
      <w:r>
        <w:rPr>
          <w:rFonts w:ascii="Arial" w:cs="Arial" w:eastAsia="Arial" w:hAnsi="Arial"/>
          <w:color w:val="22303C"/>
          <w:sz w:val="21"/>
          <w:szCs w:val="21"/>
        </w:rPr>
        <w:t xml:space="preserve">When the documentation consists mostly of the supervisor's memory</w:t>
      </w:r>
    </w:p>
    <w:p>
      <w:pPr>
        <w:pStyle w:val="ListParagraph"/>
        <w:numPr>
          <w:ilvl w:val="0"/>
          <w:numId w:val="2"/>
        </w:numPr>
        <w:spacing w:after="80" w:line="288"/>
      </w:pPr>
      <w:r>
        <w:rPr>
          <w:rFonts w:ascii="Arial" w:cs="Arial" w:eastAsia="Arial" w:hAnsi="Arial"/>
          <w:color w:val="22303C"/>
          <w:sz w:val="21"/>
          <w:szCs w:val="21"/>
        </w:rPr>
        <w:t xml:space="preserve">Before terminating a long-tenured employee with clean reviews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Retaliation and discrimination claims from terminations that follow protected activity</w:t>
      </w:r>
    </w:p>
    <w:p>
      <w:pPr>
        <w:pStyle w:val="ListParagraph"/>
        <w:numPr>
          <w:ilvl w:val="0"/>
          <w:numId w:val="2"/>
        </w:numPr>
        <w:spacing w:after="80" w:line="288"/>
      </w:pPr>
      <w:r>
        <w:rPr>
          <w:rFonts w:ascii="Arial" w:cs="Arial" w:eastAsia="Arial" w:hAnsi="Arial"/>
          <w:color w:val="22303C"/>
          <w:sz w:val="21"/>
          <w:szCs w:val="21"/>
        </w:rPr>
        <w:t xml:space="preserve">Bad termination decisions driven by the loudest supervisor in the room</w:t>
      </w:r>
    </w:p>
    <w:p>
      <w:pPr>
        <w:pStyle w:val="ListParagraph"/>
        <w:numPr>
          <w:ilvl w:val="0"/>
          <w:numId w:val="2"/>
        </w:numPr>
        <w:spacing w:after="80" w:line="288"/>
      </w:pPr>
      <w:r>
        <w:rPr>
          <w:rFonts w:ascii="Arial" w:cs="Arial" w:eastAsia="Arial" w:hAnsi="Arial"/>
          <w:color w:val="22303C"/>
          <w:sz w:val="21"/>
          <w:szCs w:val="21"/>
        </w:rPr>
        <w:t xml:space="preserve">Terminations inconsistent with how similar cases were handled</w:t>
      </w:r>
    </w:p>
    <w:p>
      <w:pPr>
        <w:pStyle w:val="ListParagraph"/>
        <w:numPr>
          <w:ilvl w:val="0"/>
          <w:numId w:val="2"/>
        </w:numPr>
        <w:spacing w:after="80" w:line="288"/>
      </w:pPr>
      <w:r>
        <w:rPr>
          <w:rFonts w:ascii="Arial" w:cs="Arial" w:eastAsia="Arial" w:hAnsi="Arial"/>
          <w:color w:val="22303C"/>
          <w:sz w:val="21"/>
          <w:szCs w:val="21"/>
        </w:rPr>
        <w:t xml:space="preserve">Documentation that fails under scrutiny because it was written after the decision</w:t>
      </w:r>
    </w:p>
    <w:p>
      <w:pPr>
        <w:pStyle w:val="ListParagraph"/>
        <w:numPr>
          <w:ilvl w:val="0"/>
          <w:numId w:val="2"/>
        </w:numPr>
        <w:spacing w:after="80" w:line="288"/>
      </w:pPr>
      <w:r>
        <w:rPr>
          <w:rFonts w:ascii="Arial" w:cs="Arial" w:eastAsia="Arial" w:hAnsi="Arial"/>
          <w:color w:val="22303C"/>
          <w:sz w:val="21"/>
          <w:szCs w:val="21"/>
        </w:rPr>
        <w:t xml:space="preserve">Wrongful termination exposure from promises made in policies, offer letters, or interviews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TERMINATION RISK REVIEW</w:t>
      </w:r>
    </w:p>
    <w:p>
      <w:pPr>
        <w:spacing w:after="160" w:line="288"/>
      </w:pPr>
      <w:r>
        <w:rPr>
          <w:rFonts w:ascii="Arial" w:cs="Arial" w:eastAsia="Arial" w:hAnsi="Arial"/>
          <w:color w:val="4A5A6A"/>
          <w:sz w:val="20"/>
          <w:szCs w:val="20"/>
        </w:rPr>
        <w:t xml:space="preserve">Complete every part before the termination is communicated. A 'no' or a blank in any part is a signal to pause, not a formality to skip.</w:t>
      </w:r>
    </w:p>
    <w:p>
      <w:pPr>
        <w:keepNext/>
        <w:spacing w:after="100" w:before="220"/>
      </w:pPr>
      <w:r>
        <w:rPr>
          <w:rFonts w:ascii="Arial" w:cs="Arial" w:eastAsia="Arial" w:hAnsi="Arial"/>
          <w:b/>
          <w:bCs/>
          <w:color w:val="1B3A52"/>
          <w:sz w:val="22"/>
          <w:szCs w:val="22"/>
        </w:rPr>
        <w:t xml:space="preserve">Part 1 — Decision Snapshot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 role, hire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Supervisor recommending termination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Stated reason for termination (one sentence)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Trigger event and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Proposed termination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Protected Activity Screen</w:t>
      </w:r>
    </w:p>
    <w:p>
      <w:pPr>
        <w:spacing w:after="120" w:line="288"/>
      </w:pPr>
      <w:r>
        <w:rPr>
          <w:rFonts w:ascii="Arial" w:cs="Arial" w:eastAsia="Arial" w:hAnsi="Arial"/>
          <w:color w:val="4A5A6A"/>
          <w:sz w:val="20"/>
          <w:szCs w:val="20"/>
        </w:rPr>
        <w:t xml:space="preserve">Mark every item that is true. Any mark here does not automatically stop the termination — it means the timing and evidence need review before you proceed.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True?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 the last 12 months, the employee has...</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details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Complained about harassment, discrimination, or retaliation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Raised pay, overtime, or wage concerns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Reported a safety issue or filed a workers' comp claim</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Requested or taken FMLA, disability, pregnancy, or religious accommodation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Participated in an investigation, hearing, or agency complaint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Disclosed pregnancy, a medical condition, or military service obligations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Consistency Check</w:t>
      </w:r>
    </w:p>
    <w:p>
      <w:pPr>
        <w:spacing w:after="120" w:line="288"/>
      </w:pPr>
      <w:r>
        <w:rPr>
          <w:rFonts w:ascii="Arial" w:cs="Arial" w:eastAsia="Arial" w:hAnsi="Arial"/>
          <w:color w:val="4A5A6A"/>
          <w:sz w:val="20"/>
          <w:szCs w:val="20"/>
        </w:rPr>
        <w:t xml:space="preserve">List employees who committed similar violations or had similar performance in the last 2-3 years and what happened to them. Different outcomes need a documented, legitimate distinction.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20"/>
        <w:gridCol w:w="2620"/>
        <w:gridCol w:w="1814"/>
        <w:gridCol w:w="3026"/>
      </w:tblGrid>
      <w:tr>
        <w:trPr>
          <w:tblHeader/>
        </w:trPr>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Comparable employee / role</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Similar issue</w:t>
            </w:r>
          </w:p>
        </w:tc>
        <w:tc>
          <w:tcPr>
            <w:tcW w:type="dxa" w:w="181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Outcome</w:t>
            </w:r>
          </w:p>
        </w:tc>
        <w:tc>
          <w:tcPr>
            <w:tcW w:type="dxa" w:w="302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Legitimate distinction, if outcomes differ</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02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02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02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02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Documentation Review</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On file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Documentation item</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Location / gaps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expectation the employee violated, in writing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Evidence the employee knew the policy or expectation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warnings or coaching records, with dates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Contemporaneous record of the final incident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Witness statements, if the facts are disputed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Performance reviews consistent with the termination reason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Alternatives Considered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Considered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Alternative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Why rejected / selected</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Final written warning with specific expectations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Performance improvement plan with a defined window</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Reassignment, schedule change, or demotion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Suspension pending investigation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Coaching with a documented follow-up date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Decision Authority and Final Approval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Person with authority to approve this termination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Has that person reviewed this worksheet?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Final pay reviewed through the Texas Final Pay Decision Packet?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Termination meeting: who attends, when, where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Supervisor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HR review</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Approved by (decision authority)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recently complained about pay, harassment, discrimination, safety, leave, or retaliation.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no prior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is inconsistent with how similar cases were handled.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on, or recently requested, protected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issue involves pay, deductions, final wages, medical information, disability, pregnancy, injury, or protected activity.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will be visible to a board, council, funder, auditor, plaintiff attorney, or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Treating at-will employment as a substitute for documentation.</w:t>
      </w:r>
    </w:p>
    <w:p>
      <w:pPr>
        <w:pStyle w:val="ListParagraph"/>
        <w:numPr>
          <w:ilvl w:val="0"/>
          <w:numId w:val="3"/>
        </w:numPr>
        <w:spacing w:after="90" w:line="288"/>
      </w:pPr>
      <w:r>
        <w:rPr>
          <w:rFonts w:ascii="Arial" w:cs="Arial" w:eastAsia="Arial" w:hAnsi="Arial"/>
          <w:color w:val="22303C"/>
          <w:sz w:val="21"/>
          <w:szCs w:val="21"/>
        </w:rPr>
        <w:t xml:space="preserve">Letting the loudest supervisor define the facts without checking the file.</w:t>
      </w:r>
    </w:p>
    <w:p>
      <w:pPr>
        <w:pStyle w:val="ListParagraph"/>
        <w:numPr>
          <w:ilvl w:val="0"/>
          <w:numId w:val="3"/>
        </w:numPr>
        <w:spacing w:after="90" w:line="288"/>
      </w:pPr>
      <w:r>
        <w:rPr>
          <w:rFonts w:ascii="Arial" w:cs="Arial" w:eastAsia="Arial" w:hAnsi="Arial"/>
          <w:color w:val="22303C"/>
          <w:sz w:val="21"/>
          <w:szCs w:val="21"/>
        </w:rPr>
        <w:t xml:space="preserve">Documenting the conclusion ('insubordinate,' 'bad attitude') instead of the behavior and its impact.</w:t>
      </w:r>
    </w:p>
    <w:p>
      <w:pPr>
        <w:pStyle w:val="ListParagraph"/>
        <w:numPr>
          <w:ilvl w:val="0"/>
          <w:numId w:val="3"/>
        </w:numPr>
        <w:spacing w:after="90" w:line="288"/>
      </w:pPr>
      <w:r>
        <w:rPr>
          <w:rFonts w:ascii="Arial" w:cs="Arial" w:eastAsia="Arial" w:hAnsi="Arial"/>
          <w:color w:val="22303C"/>
          <w:sz w:val="21"/>
          <w:szCs w:val="21"/>
        </w:rPr>
        <w:t xml:space="preserve">Skipping the consistency check and creating your own comparator problem.</w:t>
      </w:r>
    </w:p>
    <w:p>
      <w:pPr>
        <w:pStyle w:val="ListParagraph"/>
        <w:numPr>
          <w:ilvl w:val="0"/>
          <w:numId w:val="3"/>
        </w:numPr>
        <w:spacing w:after="90" w:line="288"/>
      </w:pPr>
      <w:r>
        <w:rPr>
          <w:rFonts w:ascii="Arial" w:cs="Arial" w:eastAsia="Arial" w:hAnsi="Arial"/>
          <w:color w:val="22303C"/>
          <w:sz w:val="21"/>
          <w:szCs w:val="21"/>
        </w:rPr>
        <w:t xml:space="preserve">Announcing the termination before anyone with actual authority approved it.</w:t>
      </w:r>
    </w:p>
    <w:p>
      <w:pPr>
        <w:pStyle w:val="ListParagraph"/>
        <w:numPr>
          <w:ilvl w:val="0"/>
          <w:numId w:val="3"/>
        </w:numPr>
        <w:spacing w:after="90" w:line="288"/>
      </w:pPr>
      <w:r>
        <w:rPr>
          <w:rFonts w:ascii="Arial" w:cs="Arial" w:eastAsia="Arial" w:hAnsi="Arial"/>
          <w:color w:val="22303C"/>
          <w:sz w:val="21"/>
          <w:szCs w:val="21"/>
        </w:rPr>
        <w:t xml:space="preserve">Writing the termination memo after the decision to justify it, instead of reviewing evidence before deciding.</w:t>
      </w:r>
    </w:p>
    <w:p>
      <w:pPr>
        <w:pStyle w:val="ListParagraph"/>
        <w:numPr>
          <w:ilvl w:val="0"/>
          <w:numId w:val="3"/>
        </w:numPr>
        <w:spacing w:after="90" w:line="288"/>
      </w:pPr>
      <w:r>
        <w:rPr>
          <w:rFonts w:ascii="Arial" w:cs="Arial" w:eastAsia="Arial" w:hAnsi="Arial"/>
          <w:color w:val="22303C"/>
          <w:sz w:val="21"/>
          <w:szCs w:val="21"/>
        </w:rPr>
        <w:t xml:space="preserve">Ignoring the calendar — terminating days after a complaint, injury, or leave request without addressing the timing.</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If every part is complete and no risk flag applies, schedule the termination meeting, prepare the final pay packet, and script the conversation. If any part is blank or any flag applies, pause and get the decision reviewed — the cost of a one-week delay is nothing next to the cost of a claim.</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Termination Risk Review | Version 2026.1 | 210.446.8730 | thomas@faulknerhrsolutions.info | faulknerhrsolutions.info/resources/termination-risk-review-worksheet/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SUPERVISOR RISK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Termination Risk Review Worksheet</dc:title>
  <dc:creator>Faulkner HR Solutions</dc:creator>
  <dc:description>A pre-termination screen for Texas employers: protected activity, consistency, documentation, authority, and alternatives — before the decision is final.</dc:description>
  <cp:lastModifiedBy>Un-named</cp:lastModifiedBy>
  <cp:revision>1</cp:revision>
  <dcterms:created xsi:type="dcterms:W3CDTF">2026-07-04T08:16:04.411Z</dcterms:created>
  <dcterms:modified xsi:type="dcterms:W3CDTF">2026-07-04T08:16:04.411Z</dcterms:modified>
</cp:coreProperties>
</file>

<file path=docProps/custom.xml><?xml version="1.0" encoding="utf-8"?>
<Properties xmlns="http://schemas.openxmlformats.org/officeDocument/2006/custom-properties" xmlns:vt="http://schemas.openxmlformats.org/officeDocument/2006/docPropsVTypes"/>
</file>