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SUPERVISOR TOOLKIT  |  JURISDICTION: GENERAL EMPLOYER  |  VERSION 2026.1</w:t>
      </w:r>
    </w:p>
    <w:p>
      <w:pPr>
        <w:spacing w:after="120"/>
      </w:pPr>
      <w:r>
        <w:rPr>
          <w:rFonts w:ascii="Arial" w:cs="Arial" w:eastAsia="Arial" w:hAnsi="Arial"/>
          <w:b/>
          <w:bCs/>
          <w:color w:val="1B3A52"/>
          <w:sz w:val="44"/>
          <w:szCs w:val="44"/>
        </w:rPr>
        <w:t xml:space="preserve">Supervisor Documentation Sprint</w:t>
      </w:r>
    </w:p>
    <w:p>
      <w:pPr>
        <w:spacing w:after="200" w:line="300"/>
      </w:pPr>
      <w:r>
        <w:rPr>
          <w:rFonts w:ascii="Arial" w:cs="Arial" w:eastAsia="Arial" w:hAnsi="Arial"/>
          <w:i/>
          <w:iCs/>
          <w:color w:val="4A5A6A"/>
          <w:sz w:val="22"/>
          <w:szCs w:val="22"/>
        </w:rPr>
        <w:t xml:space="preserve">A 7-day cleanup plan for supervisors who have a real problem employee and no real documentation.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sprint to convert a supervisor's undocumented frustration into a defensible written record in seven days — defining the issue, capturing specific examples, resetting expectations, and building a follow-up trail.</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When a supervisor wants to 'document something' but has not identified the real issue</w:t>
      </w:r>
    </w:p>
    <w:p>
      <w:pPr>
        <w:pStyle w:val="ListParagraph"/>
        <w:numPr>
          <w:ilvl w:val="0"/>
          <w:numId w:val="2"/>
        </w:numPr>
        <w:spacing w:after="80" w:line="288"/>
      </w:pPr>
      <w:r>
        <w:rPr>
          <w:rFonts w:ascii="Arial" w:cs="Arial" w:eastAsia="Arial" w:hAnsi="Arial"/>
          <w:color w:val="22303C"/>
          <w:sz w:val="21"/>
          <w:szCs w:val="21"/>
        </w:rPr>
        <w:t xml:space="preserve">When termination is being discussed and the file is empty</w:t>
      </w:r>
    </w:p>
    <w:p>
      <w:pPr>
        <w:pStyle w:val="ListParagraph"/>
        <w:numPr>
          <w:ilvl w:val="0"/>
          <w:numId w:val="2"/>
        </w:numPr>
        <w:spacing w:after="80" w:line="288"/>
      </w:pPr>
      <w:r>
        <w:rPr>
          <w:rFonts w:ascii="Arial" w:cs="Arial" w:eastAsia="Arial" w:hAnsi="Arial"/>
          <w:color w:val="22303C"/>
          <w:sz w:val="21"/>
          <w:szCs w:val="21"/>
        </w:rPr>
        <w:t xml:space="preserve">After HR discovers a long-running problem that lives only in the supervisor's memory</w:t>
      </w:r>
    </w:p>
    <w:p>
      <w:pPr>
        <w:pStyle w:val="ListParagraph"/>
        <w:numPr>
          <w:ilvl w:val="0"/>
          <w:numId w:val="2"/>
        </w:numPr>
        <w:spacing w:after="80" w:line="288"/>
      </w:pPr>
      <w:r>
        <w:rPr>
          <w:rFonts w:ascii="Arial" w:cs="Arial" w:eastAsia="Arial" w:hAnsi="Arial"/>
          <w:color w:val="22303C"/>
          <w:sz w:val="21"/>
          <w:szCs w:val="21"/>
        </w:rPr>
        <w:t xml:space="preserve">When a new manager inherits a team with known issues and no records</w:t>
      </w:r>
    </w:p>
    <w:p>
      <w:pPr>
        <w:pStyle w:val="ListParagraph"/>
        <w:numPr>
          <w:ilvl w:val="0"/>
          <w:numId w:val="2"/>
        </w:numPr>
        <w:spacing w:after="80" w:line="288"/>
      </w:pPr>
      <w:r>
        <w:rPr>
          <w:rFonts w:ascii="Arial" w:cs="Arial" w:eastAsia="Arial" w:hAnsi="Arial"/>
          <w:color w:val="22303C"/>
          <w:sz w:val="21"/>
          <w:szCs w:val="21"/>
        </w:rPr>
        <w:t xml:space="preserve">Before starting a performance improvement plan</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Terminations supported by nothing but recollection and adjectives</w:t>
      </w:r>
    </w:p>
    <w:p>
      <w:pPr>
        <w:pStyle w:val="ListParagraph"/>
        <w:numPr>
          <w:ilvl w:val="0"/>
          <w:numId w:val="2"/>
        </w:numPr>
        <w:spacing w:after="80" w:line="288"/>
      </w:pPr>
      <w:r>
        <w:rPr>
          <w:rFonts w:ascii="Arial" w:cs="Arial" w:eastAsia="Arial" w:hAnsi="Arial"/>
          <w:color w:val="22303C"/>
          <w:sz w:val="21"/>
          <w:szCs w:val="21"/>
        </w:rPr>
        <w:t xml:space="preserve">Documentation that appears for the first time the week before a firing</w:t>
      </w:r>
    </w:p>
    <w:p>
      <w:pPr>
        <w:pStyle w:val="ListParagraph"/>
        <w:numPr>
          <w:ilvl w:val="0"/>
          <w:numId w:val="2"/>
        </w:numPr>
        <w:spacing w:after="80" w:line="288"/>
      </w:pPr>
      <w:r>
        <w:rPr>
          <w:rFonts w:ascii="Arial" w:cs="Arial" w:eastAsia="Arial" w:hAnsi="Arial"/>
          <w:color w:val="22303C"/>
          <w:sz w:val="21"/>
          <w:szCs w:val="21"/>
        </w:rPr>
        <w:t xml:space="preserve">Vague write-ups ('bad attitude') that collapse under scrutiny</w:t>
      </w:r>
    </w:p>
    <w:p>
      <w:pPr>
        <w:pStyle w:val="ListParagraph"/>
        <w:numPr>
          <w:ilvl w:val="0"/>
          <w:numId w:val="2"/>
        </w:numPr>
        <w:spacing w:after="80" w:line="288"/>
      </w:pPr>
      <w:r>
        <w:rPr>
          <w:rFonts w:ascii="Arial" w:cs="Arial" w:eastAsia="Arial" w:hAnsi="Arial"/>
          <w:color w:val="22303C"/>
          <w:sz w:val="21"/>
          <w:szCs w:val="21"/>
        </w:rPr>
        <w:t xml:space="preserve">Inconsistent supervisor action across the same team</w:t>
      </w:r>
    </w:p>
    <w:p>
      <w:pPr>
        <w:pStyle w:val="ListParagraph"/>
        <w:numPr>
          <w:ilvl w:val="0"/>
          <w:numId w:val="2"/>
        </w:numPr>
        <w:spacing w:after="80" w:line="288"/>
      </w:pPr>
      <w:r>
        <w:rPr>
          <w:rFonts w:ascii="Arial" w:cs="Arial" w:eastAsia="Arial" w:hAnsi="Arial"/>
          <w:color w:val="22303C"/>
          <w:sz w:val="21"/>
          <w:szCs w:val="21"/>
        </w:rPr>
        <w:t xml:space="preserve">PIPs that fail because expectations were never actually reset in writing</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THE 7-DAY SPRINT</w:t>
      </w:r>
    </w:p>
    <w:p>
      <w:pPr>
        <w:spacing w:after="160" w:line="288"/>
      </w:pPr>
      <w:r>
        <w:rPr>
          <w:rFonts w:ascii="Arial" w:cs="Arial" w:eastAsia="Arial" w:hAnsi="Arial"/>
          <w:color w:val="4A5A6A"/>
          <w:sz w:val="20"/>
          <w:szCs w:val="20"/>
        </w:rPr>
        <w:t xml:space="preserve">This is a sprint, not a trap. The goal is a fair, specific, written record — and a genuine chance for the employee to correct course. Complete each day's task in order.</w:t>
      </w:r>
    </w:p>
    <w:p>
      <w:pPr>
        <w:keepNext/>
        <w:spacing w:after="100" w:before="220"/>
      </w:pPr>
      <w:r>
        <w:rPr>
          <w:rFonts w:ascii="Arial" w:cs="Arial" w:eastAsia="Arial" w:hAnsi="Arial"/>
          <w:b/>
          <w:bCs/>
          <w:color w:val="1B3A52"/>
          <w:sz w:val="22"/>
          <w:szCs w:val="22"/>
        </w:rPr>
        <w:t xml:space="preserve">Day 1 — Define the Real Issue</w:t>
      </w:r>
    </w:p>
    <w:p>
      <w:pPr>
        <w:spacing w:after="120" w:line="288"/>
      </w:pPr>
      <w:r>
        <w:rPr>
          <w:rFonts w:ascii="Arial" w:cs="Arial" w:eastAsia="Arial" w:hAnsi="Arial"/>
          <w:color w:val="4A5A6A"/>
          <w:sz w:val="20"/>
          <w:szCs w:val="20"/>
        </w:rPr>
        <w:t xml:space="preserve">One sentence, behavior-based, no conclusions. 'Misses production deadlines' is an issue. 'Lazy' is an opinion.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name and role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The issue, stated as observable behavior</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Business impact (missed deadlines, rework, complaints, coverage gaps)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Policy, standard, or expectation that applies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How long has this been happening?</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Day 2 — Capture Specific Examples</w:t>
      </w:r>
    </w:p>
    <w:p>
      <w:pPr>
        <w:spacing w:after="120" w:line="288"/>
      </w:pPr>
      <w:r>
        <w:rPr>
          <w:rFonts w:ascii="Arial" w:cs="Arial" w:eastAsia="Arial" w:hAnsi="Arial"/>
          <w:color w:val="4A5A6A"/>
          <w:sz w:val="20"/>
          <w:szCs w:val="20"/>
        </w:rPr>
        <w:t xml:space="preserve">List recent, dated, first-hand examples. If you cannot name three, the issue may not be documentable yet — keep observing.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379"/>
        <w:gridCol w:w="3925"/>
        <w:gridCol w:w="2546"/>
        <w:gridCol w:w="2230"/>
      </w:tblGrid>
      <w:tr>
        <w:trPr>
          <w:tblHeader/>
        </w:trPr>
        <w:tc>
          <w:tcPr>
            <w:tcW w:type="dxa" w:w="137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c>
          <w:tcPr>
            <w:tcW w:type="dxa" w:w="39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What happened (observable behavior)</w:t>
            </w:r>
          </w:p>
        </w:tc>
        <w:tc>
          <w:tcPr>
            <w:tcW w:type="dxa" w:w="254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Impact</w:t>
            </w:r>
          </w:p>
        </w:tc>
        <w:tc>
          <w:tcPr>
            <w:tcW w:type="dxa" w:w="223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Witness / evidence</w:t>
            </w:r>
          </w:p>
        </w:tc>
      </w:tr>
      <w:tr>
        <w:tc>
          <w:tcPr>
            <w:tcW w:type="dxa" w:w="137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9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4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37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9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4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37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9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4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37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9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4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37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92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54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3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Day 3 — Check the History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History check</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Findings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reviews read — do they contradict the issue you just defined?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coaching or warnings located, with dates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Consistency checked — are other team members doing the same thing without consequence?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Any recent complaint, injury, leave, or accommodation request by this employee? (If yes, STOP — complete the Retaliation Risk Map first)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Day 4 — Reset Expectations in Writing</w:t>
      </w:r>
    </w:p>
    <w:p>
      <w:pPr>
        <w:spacing w:after="120" w:line="288"/>
      </w:pPr>
      <w:r>
        <w:rPr>
          <w:rFonts w:ascii="Arial" w:cs="Arial" w:eastAsia="Arial" w:hAnsi="Arial"/>
          <w:color w:val="4A5A6A"/>
          <w:sz w:val="20"/>
          <w:szCs w:val="20"/>
        </w:rPr>
        <w:t xml:space="preserve">Draft the expectation-reset conversation. State the issue, the standard, the support offered, and the follow-up date. Keep it factual and future-focused.</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spacing w:after="120"/>
      </w:pPr>
      <w:r>
        <w:rPr>
          <w:rFonts w:ascii="Arial" w:cs="Arial" w:eastAsia="Arial" w:hAnsi="Arial"/>
          <w:color w:val="22303C"/>
          <w:sz w:val="8"/>
          <w:szCs w:val="8"/>
        </w:rPr>
        <w:t xml:space="preserve"> </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Day 5 — Hold the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Conversation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Met privately; stated the issue with specific examples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Stated the expectation and the timeline clearly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Asked for the employee's perspective and wrote it down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Offered support (training, tools, check-ins) and recorded what was offered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Confirmed the follow-up date with the employee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Documented the conversation the same day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Day 6 — Build the Follow-Up Calendar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16"/>
        <w:gridCol w:w="4704"/>
        <w:gridCol w:w="3360"/>
      </w:tblGrid>
      <w:tr>
        <w:trPr>
          <w:tblHeader/>
        </w:trPr>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Check-in date</w:t>
            </w:r>
          </w:p>
        </w:tc>
        <w:tc>
          <w:tcPr>
            <w:tcW w:type="dxa" w:w="470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What will be reviewed</w:t>
            </w:r>
          </w:p>
        </w:tc>
        <w:tc>
          <w:tcPr>
            <w:tcW w:type="dxa" w:w="336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Result (improved / same / worse)</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70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3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70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3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70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3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70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36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Day 7 — Proof Checklist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On file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Proof item</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Issue definition and examples (Days 1-2)</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History and consistency check (Day 3)</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Written expectation reset, acknowledged or noted if refused (Days 4-5)</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Same-day conversation record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Follow-up calendar with owner and dates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Copy routed to HR / personnel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Supervisor</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HR / reviewer</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recently complained about pay, harassment, discrimination, safety, leave, or retaliation.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has no prior documentation.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is inconsistent with how similar cases were handled.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on, or recently requested, protected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issue involves pay, deductions, final wages, medical information, disability, pregnancy, injury, or protected activity.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will be visible to a board, council, funder, auditor, plaintiff attorney, or agency.</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Documenting the conclusion instead of the behavior — adjectives are not evidence.</w:t>
      </w:r>
    </w:p>
    <w:p>
      <w:pPr>
        <w:pStyle w:val="ListParagraph"/>
        <w:numPr>
          <w:ilvl w:val="0"/>
          <w:numId w:val="3"/>
        </w:numPr>
        <w:spacing w:after="90" w:line="288"/>
      </w:pPr>
      <w:r>
        <w:rPr>
          <w:rFonts w:ascii="Arial" w:cs="Arial" w:eastAsia="Arial" w:hAnsi="Arial"/>
          <w:color w:val="22303C"/>
          <w:sz w:val="21"/>
          <w:szCs w:val="21"/>
        </w:rPr>
        <w:t xml:space="preserve">Backdating or bulk-writing 'recollections' that are obviously created in one sitting.</w:t>
      </w:r>
    </w:p>
    <w:p>
      <w:pPr>
        <w:pStyle w:val="ListParagraph"/>
        <w:numPr>
          <w:ilvl w:val="0"/>
          <w:numId w:val="3"/>
        </w:numPr>
        <w:spacing w:after="90" w:line="288"/>
      </w:pPr>
      <w:r>
        <w:rPr>
          <w:rFonts w:ascii="Arial" w:cs="Arial" w:eastAsia="Arial" w:hAnsi="Arial"/>
          <w:color w:val="22303C"/>
          <w:sz w:val="21"/>
          <w:szCs w:val="21"/>
        </w:rPr>
        <w:t xml:space="preserve">Skipping the expectation reset and going straight to a write-up the employee has never heard about.</w:t>
      </w:r>
    </w:p>
    <w:p>
      <w:pPr>
        <w:pStyle w:val="ListParagraph"/>
        <w:numPr>
          <w:ilvl w:val="0"/>
          <w:numId w:val="3"/>
        </w:numPr>
        <w:spacing w:after="90" w:line="288"/>
      </w:pPr>
      <w:r>
        <w:rPr>
          <w:rFonts w:ascii="Arial" w:cs="Arial" w:eastAsia="Arial" w:hAnsi="Arial"/>
          <w:color w:val="22303C"/>
          <w:sz w:val="21"/>
          <w:szCs w:val="21"/>
        </w:rPr>
        <w:t xml:space="preserve">Setting a follow-up date and never holding the follow-up.</w:t>
      </w:r>
    </w:p>
    <w:p>
      <w:pPr>
        <w:pStyle w:val="ListParagraph"/>
        <w:numPr>
          <w:ilvl w:val="0"/>
          <w:numId w:val="3"/>
        </w:numPr>
        <w:spacing w:after="90" w:line="288"/>
      </w:pPr>
      <w:r>
        <w:rPr>
          <w:rFonts w:ascii="Arial" w:cs="Arial" w:eastAsia="Arial" w:hAnsi="Arial"/>
          <w:color w:val="22303C"/>
          <w:sz w:val="21"/>
          <w:szCs w:val="21"/>
        </w:rPr>
        <w:t xml:space="preserve">Documenting one employee's lateness while ignoring the rest of the team's.</w:t>
      </w:r>
    </w:p>
    <w:p>
      <w:pPr>
        <w:pStyle w:val="ListParagraph"/>
        <w:numPr>
          <w:ilvl w:val="0"/>
          <w:numId w:val="3"/>
        </w:numPr>
        <w:spacing w:after="90" w:line="288"/>
      </w:pPr>
      <w:r>
        <w:rPr>
          <w:rFonts w:ascii="Arial" w:cs="Arial" w:eastAsia="Arial" w:hAnsi="Arial"/>
          <w:color w:val="22303C"/>
          <w:sz w:val="21"/>
          <w:szCs w:val="21"/>
        </w:rPr>
        <w:t xml:space="preserve">Treating the sprint as termination paperwork instead of a genuine chance to fix performance.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At the first follow-up date, record the result honestly. If performance improved, say so in writing — that record protects you too. If it did not, the file now supports the next step: formal warning, PIP, or a termination reviewed through the Termination Risk Review Worksheet.</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Supervisor Documentation Sprint | Version 2026.1 | 210.446.8730 | thomas@faulknerhrsolutions.info | faulknerhrsolutions.info/resources/supervisor-documentation-sprint/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SUPERVISOR RISK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 Documentation Sprint</dc:title>
  <dc:creator>Faulkner HR Solutions</dc:creator>
  <dc:description>A 7-day cleanup plan for supervisors who have a real problem employee and no real documentation.</dc:description>
  <cp:lastModifiedBy>Un-named</cp:lastModifiedBy>
  <cp:revision>1</cp:revision>
  <dcterms:created xsi:type="dcterms:W3CDTF">2026-07-04T08:16:04.565Z</dcterms:created>
  <dcterms:modified xsi:type="dcterms:W3CDTF">2026-07-04T08:16:04.565Z</dcterms:modified>
</cp:coreProperties>
</file>

<file path=docProps/custom.xml><?xml version="1.0" encoding="utf-8"?>
<Properties xmlns="http://schemas.openxmlformats.org/officeDocument/2006/custom-properties" xmlns:vt="http://schemas.openxmlformats.org/officeDocument/2006/docPropsVTypes"/>
</file>