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EMPLOYER DECISION WORKSHEET  |  JURISDICTION: TEXAS  |  VERSION 2026.1</w:t>
      </w:r>
    </w:p>
    <w:p>
      <w:pPr>
        <w:spacing w:after="120"/>
      </w:pPr>
      <w:r>
        <w:rPr>
          <w:rFonts w:ascii="Arial" w:cs="Arial" w:eastAsia="Arial" w:hAnsi="Arial"/>
          <w:b/>
          <w:bCs/>
          <w:color w:val="1B3A52"/>
          <w:sz w:val="44"/>
          <w:szCs w:val="44"/>
        </w:rPr>
        <w:t xml:space="preserve">Separation Classification Worksheet</w:t>
      </w:r>
    </w:p>
    <w:p>
      <w:pPr>
        <w:spacing w:after="200" w:line="300"/>
      </w:pPr>
      <w:r>
        <w:rPr>
          <w:rFonts w:ascii="Arial" w:cs="Arial" w:eastAsia="Arial" w:hAnsi="Arial"/>
          <w:i/>
          <w:iCs/>
          <w:color w:val="4A5A6A"/>
          <w:sz w:val="22"/>
          <w:szCs w:val="22"/>
        </w:rPr>
        <w:t xml:space="preserve">Quit, discharge, layoff, or abandonment — classify every separation once, correctly, with the facts written down.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worksheet to classify every separation accurately at the moment it happens, because the classification drives final-pay deadlines, unemployment outcomes, and the story you will be held to later.</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At every separation, before paperwork is filed</w:t>
      </w:r>
    </w:p>
    <w:p>
      <w:pPr>
        <w:pStyle w:val="ListParagraph"/>
        <w:numPr>
          <w:ilvl w:val="0"/>
          <w:numId w:val="2"/>
        </w:numPr>
        <w:spacing w:after="80" w:line="288"/>
      </w:pPr>
      <w:r>
        <w:rPr>
          <w:rFonts w:ascii="Arial" w:cs="Arial" w:eastAsia="Arial" w:hAnsi="Arial"/>
          <w:color w:val="22303C"/>
          <w:sz w:val="21"/>
          <w:szCs w:val="21"/>
        </w:rPr>
        <w:t xml:space="preserve">When a resignation happens mid-discipline and someone says 'let's call it a quit'</w:t>
      </w:r>
    </w:p>
    <w:p>
      <w:pPr>
        <w:pStyle w:val="ListParagraph"/>
        <w:numPr>
          <w:ilvl w:val="0"/>
          <w:numId w:val="2"/>
        </w:numPr>
        <w:spacing w:after="80" w:line="288"/>
      </w:pPr>
      <w:r>
        <w:rPr>
          <w:rFonts w:ascii="Arial" w:cs="Arial" w:eastAsia="Arial" w:hAnsi="Arial"/>
          <w:color w:val="22303C"/>
          <w:sz w:val="21"/>
          <w:szCs w:val="21"/>
        </w:rPr>
        <w:t xml:space="preserve">When an employee walks off the job mid-shift</w:t>
      </w:r>
    </w:p>
    <w:p>
      <w:pPr>
        <w:pStyle w:val="ListParagraph"/>
        <w:numPr>
          <w:ilvl w:val="0"/>
          <w:numId w:val="2"/>
        </w:numPr>
        <w:spacing w:after="80" w:line="288"/>
      </w:pPr>
      <w:r>
        <w:rPr>
          <w:rFonts w:ascii="Arial" w:cs="Arial" w:eastAsia="Arial" w:hAnsi="Arial"/>
          <w:color w:val="22303C"/>
          <w:sz w:val="21"/>
          <w:szCs w:val="21"/>
        </w:rPr>
        <w:t xml:space="preserve">When a 'mutual agreement' separation is proposed</w:t>
      </w:r>
    </w:p>
    <w:p>
      <w:pPr>
        <w:pStyle w:val="ListParagraph"/>
        <w:numPr>
          <w:ilvl w:val="0"/>
          <w:numId w:val="2"/>
        </w:numPr>
        <w:spacing w:after="80" w:line="288"/>
      </w:pPr>
      <w:r>
        <w:rPr>
          <w:rFonts w:ascii="Arial" w:cs="Arial" w:eastAsia="Arial" w:hAnsi="Arial"/>
          <w:color w:val="22303C"/>
          <w:sz w:val="21"/>
          <w:szCs w:val="21"/>
        </w:rPr>
        <w:t xml:space="preserve">Before responding to any unemployment claim</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Final-pay deadline violations from misclassified separations</w:t>
      </w:r>
    </w:p>
    <w:p>
      <w:pPr>
        <w:pStyle w:val="ListParagraph"/>
        <w:numPr>
          <w:ilvl w:val="0"/>
          <w:numId w:val="2"/>
        </w:numPr>
        <w:spacing w:after="80" w:line="288"/>
      </w:pPr>
      <w:r>
        <w:rPr>
          <w:rFonts w:ascii="Arial" w:cs="Arial" w:eastAsia="Arial" w:hAnsi="Arial"/>
          <w:color w:val="22303C"/>
          <w:sz w:val="21"/>
          <w:szCs w:val="21"/>
        </w:rPr>
        <w:t xml:space="preserve">Unemployment responses that contradict the personnel file</w:t>
      </w:r>
    </w:p>
    <w:p>
      <w:pPr>
        <w:pStyle w:val="ListParagraph"/>
        <w:numPr>
          <w:ilvl w:val="0"/>
          <w:numId w:val="2"/>
        </w:numPr>
        <w:spacing w:after="80" w:line="288"/>
      </w:pPr>
      <w:r>
        <w:rPr>
          <w:rFonts w:ascii="Arial" w:cs="Arial" w:eastAsia="Arial" w:hAnsi="Arial"/>
          <w:color w:val="22303C"/>
          <w:sz w:val="21"/>
          <w:szCs w:val="21"/>
        </w:rPr>
        <w:t xml:space="preserve">'Resignations' that were really constructive discharges</w:t>
      </w:r>
    </w:p>
    <w:p>
      <w:pPr>
        <w:pStyle w:val="ListParagraph"/>
        <w:numPr>
          <w:ilvl w:val="0"/>
          <w:numId w:val="2"/>
        </w:numPr>
        <w:spacing w:after="80" w:line="288"/>
      </w:pPr>
      <w:r>
        <w:rPr>
          <w:rFonts w:ascii="Arial" w:cs="Arial" w:eastAsia="Arial" w:hAnsi="Arial"/>
          <w:color w:val="22303C"/>
          <w:sz w:val="21"/>
          <w:szCs w:val="21"/>
        </w:rPr>
        <w:t xml:space="preserve">Job abandonment labels applied to protected absences</w:t>
      </w:r>
    </w:p>
    <w:p>
      <w:pPr>
        <w:pStyle w:val="ListParagraph"/>
        <w:numPr>
          <w:ilvl w:val="0"/>
          <w:numId w:val="2"/>
        </w:numPr>
        <w:spacing w:after="80" w:line="288"/>
      </w:pPr>
      <w:r>
        <w:rPr>
          <w:rFonts w:ascii="Arial" w:cs="Arial" w:eastAsia="Arial" w:hAnsi="Arial"/>
          <w:color w:val="22303C"/>
          <w:sz w:val="21"/>
          <w:szCs w:val="21"/>
        </w:rPr>
        <w:t xml:space="preserve">Classification drift — the story changing between payroll, TWC, and the EEOC</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CLASSIFICATION WORKSHEET</w:t>
      </w:r>
    </w:p>
    <w:p>
      <w:pPr>
        <w:spacing w:after="160" w:line="288"/>
      </w:pPr>
      <w:r>
        <w:rPr>
          <w:rFonts w:ascii="Arial" w:cs="Arial" w:eastAsia="Arial" w:hAnsi="Arial"/>
          <w:color w:val="4A5A6A"/>
          <w:sz w:val="20"/>
          <w:szCs w:val="20"/>
        </w:rPr>
        <w:t xml:space="preserve">One separation, one classification, chosen from the facts — not from what is cheapest for the unemployment account. Complete this before any separation paperwork goes out.</w:t>
      </w:r>
    </w:p>
    <w:p>
      <w:pPr>
        <w:keepNext/>
        <w:spacing w:after="100" w:before="220"/>
      </w:pPr>
      <w:r>
        <w:rPr>
          <w:rFonts w:ascii="Arial" w:cs="Arial" w:eastAsia="Arial" w:hAnsi="Arial"/>
          <w:b/>
          <w:bCs/>
          <w:color w:val="1B3A52"/>
          <w:sz w:val="22"/>
          <w:szCs w:val="22"/>
        </w:rPr>
        <w:t xml:space="preserve">Part 1 — Separation Snapshot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Employee name and role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Last day worked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Who first communicated the separation, and how</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Exact words used (as close as possible)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Witnesses to the separation conversation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2 — Classification Selector</w:t>
      </w:r>
    </w:p>
    <w:p>
      <w:pPr>
        <w:spacing w:after="120" w:line="288"/>
      </w:pPr>
      <w:r>
        <w:rPr>
          <w:rFonts w:ascii="Arial" w:cs="Arial" w:eastAsia="Arial" w:hAnsi="Arial"/>
          <w:color w:val="4A5A6A"/>
          <w:sz w:val="20"/>
          <w:szCs w:val="20"/>
        </w:rPr>
        <w:t xml:space="preserve">Mark the one category the facts support. If two seem to fit, the facts section below must resolve it.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13"/>
        <w:gridCol w:w="6094"/>
        <w:gridCol w:w="1173"/>
      </w:tblGrid>
      <w:tr>
        <w:trPr>
          <w:tblHeader/>
        </w:trPr>
        <w:tc>
          <w:tcPr>
            <w:tcW w:type="dxa" w:w="281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Classification</w:t>
            </w:r>
          </w:p>
        </w:tc>
        <w:tc>
          <w:tcPr>
            <w:tcW w:type="dxa" w:w="6094"/>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The facts must show...</w:t>
            </w:r>
          </w:p>
        </w:tc>
        <w:tc>
          <w:tcPr>
            <w:tcW w:type="dxa" w:w="117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Mark</w:t>
            </w:r>
          </w:p>
        </w:tc>
      </w:tr>
      <w:tr>
        <w:tc>
          <w:tcPr>
            <w:tcW w:type="dxa" w:w="281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Voluntary quit</w:t>
            </w:r>
          </w:p>
        </w:tc>
        <w:tc>
          <w:tcPr>
            <w:tcW w:type="dxa" w:w="609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clearly communicated intent to end employment, by words or unambiguous conduct</w:t>
            </w:r>
          </w:p>
        </w:tc>
        <w:tc>
          <w:tcPr>
            <w:tcW w:type="dxa" w:w="117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81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Discharge</w:t>
            </w:r>
          </w:p>
        </w:tc>
        <w:tc>
          <w:tcPr>
            <w:tcW w:type="dxa" w:w="609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Employer ended the relationship — for cause, performance, or any other reason</w:t>
            </w:r>
          </w:p>
        </w:tc>
        <w:tc>
          <w:tcPr>
            <w:tcW w:type="dxa" w:w="117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81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Layoff / RIF</w:t>
            </w:r>
          </w:p>
        </w:tc>
        <w:tc>
          <w:tcPr>
            <w:tcW w:type="dxa" w:w="609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Position eliminated for business reasons unrelated to the individual's conduct</w:t>
            </w:r>
          </w:p>
        </w:tc>
        <w:tc>
          <w:tcPr>
            <w:tcW w:type="dxa" w:w="117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81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Job abandonment</w:t>
            </w:r>
          </w:p>
        </w:tc>
        <w:tc>
          <w:tcPr>
            <w:tcW w:type="dxa" w:w="609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Unexplained absence meeting the written policy, after documented contact attempts (complete the Job Abandonment Checklist first)</w:t>
            </w:r>
          </w:p>
        </w:tc>
        <w:tc>
          <w:tcPr>
            <w:tcW w:type="dxa" w:w="117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81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Mutual agreement</w:t>
            </w:r>
          </w:p>
        </w:tc>
        <w:tc>
          <w:tcPr>
            <w:tcW w:type="dxa" w:w="609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Genuinely negotiated exit — document who proposed it and what was exchanged</w:t>
            </w:r>
          </w:p>
        </w:tc>
        <w:tc>
          <w:tcPr>
            <w:tcW w:type="dxa" w:w="117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3 — Facts Supporting the Classification</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pBdr>
          <w:bottom w:val="single" w:color="4A5A6A" w:sz="4" w:space="1"/>
        </w:pBdr>
        <w:spacing w:after="0" w:before="220"/>
      </w:pPr>
      <w:r>
        <w:rPr>
          <w:rFonts w:ascii="Arial" w:cs="Arial" w:eastAsia="Arial" w:hAnsi="Arial"/>
          <w:color w:val="22303C"/>
          <w:sz w:val="20"/>
          <w:szCs w:val="20"/>
        </w:rPr>
        <w:t xml:space="preserve"> </w:t>
      </w:r>
    </w:p>
    <w:p>
      <w:pPr>
        <w:spacing w:after="120"/>
      </w:pPr>
      <w:r>
        <w:rPr>
          <w:rFonts w:ascii="Arial" w:cs="Arial" w:eastAsia="Arial" w:hAnsi="Arial"/>
          <w:color w:val="22303C"/>
          <w:sz w:val="8"/>
          <w:szCs w:val="8"/>
        </w:rPr>
        <w:t xml:space="preserve"> </w:t>
      </w:r>
    </w:p>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4 — Pressure Test</w:t>
      </w:r>
    </w:p>
    <w:p>
      <w:pPr>
        <w:spacing w:after="120" w:line="288"/>
      </w:pPr>
      <w:r>
        <w:rPr>
          <w:rFonts w:ascii="Arial" w:cs="Arial" w:eastAsia="Arial" w:hAnsi="Arial"/>
          <w:color w:val="4A5A6A"/>
          <w:sz w:val="20"/>
          <w:szCs w:val="20"/>
        </w:rPr>
        <w:t xml:space="preserve">Answer honestly. A 'yes' does not change the paperwork by itself — it changes the risk.</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Yes?</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Pressure question</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Details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Did the employee resign only after being told they would be fired?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Was the resignation in response to conditions a reasonable person would find intolerable?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Is anyone proposing a classification different from what actually happened?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Would the employee describe this separation differently than the file does?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Was the employee mid-complaint, mid-leave, or mid-investigation at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5 — Consequences of the Classification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86"/>
        <w:gridCol w:w="3396"/>
        <w:gridCol w:w="3398"/>
      </w:tblGrid>
      <w:tr>
        <w:trPr>
          <w:tblHeader/>
        </w:trPr>
        <w:tc>
          <w:tcPr>
            <w:tcW w:type="dxa" w:w="328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Consequence</w:t>
            </w:r>
          </w:p>
        </w:tc>
        <w:tc>
          <w:tcPr>
            <w:tcW w:type="dxa" w:w="339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Quit</w:t>
            </w:r>
          </w:p>
        </w:tc>
        <w:tc>
          <w:tcPr>
            <w:tcW w:type="dxa" w:w="3398"/>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Discharge / layoff</w:t>
            </w:r>
          </w:p>
        </w:tc>
      </w:tr>
      <w:tr>
        <w:tc>
          <w:tcPr>
            <w:tcW w:type="dxa" w:w="328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Texas final pay deadline</w:t>
            </w:r>
          </w:p>
        </w:tc>
        <w:tc>
          <w:tcPr>
            <w:tcW w:type="dxa" w:w="339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Next regularly scheduled payday</w:t>
            </w:r>
          </w:p>
        </w:tc>
        <w:tc>
          <w:tcPr>
            <w:tcW w:type="dxa" w:w="339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Sixth calendar day after discharge</w:t>
            </w:r>
          </w:p>
        </w:tc>
      </w:tr>
      <w:tr>
        <w:tc>
          <w:tcPr>
            <w:tcW w:type="dxa" w:w="328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Unemployment benefits</w:t>
            </w:r>
          </w:p>
        </w:tc>
        <w:tc>
          <w:tcPr>
            <w:tcW w:type="dxa" w:w="339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Usually disqualified unless good cause connected to the work</w:t>
            </w:r>
          </w:p>
        </w:tc>
        <w:tc>
          <w:tcPr>
            <w:tcW w:type="dxa" w:w="339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Usually payable unless misconduct is proven</w:t>
            </w:r>
          </w:p>
        </w:tc>
      </w:tr>
      <w:tr>
        <w:tc>
          <w:tcPr>
            <w:tcW w:type="dxa" w:w="328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Burden at TWC</w:t>
            </w:r>
          </w:p>
        </w:tc>
        <w:tc>
          <w:tcPr>
            <w:tcW w:type="dxa" w:w="339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Employer shows the quit was voluntary</w:t>
            </w:r>
          </w:p>
        </w:tc>
        <w:tc>
          <w:tcPr>
            <w:tcW w:type="dxa" w:w="339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Employer proves misconduct, if contesting</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6 — Classification Record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6653"/>
      </w:tblGrid>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Final classification</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Final pay deadline (calendar it)</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Documents attached (resignation letter, termination memo, abandonment file)</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3427"/>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Unemployment response owner, if a claim is expected</w:t>
            </w:r>
          </w:p>
        </w:tc>
        <w:tc>
          <w:tcPr>
            <w:tcW w:type="dxa" w:w="665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Classified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Reviewed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recently complained about pay, harassment, discrimination, safety, leave, or retaliation.</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supervisor has no prior documentation.</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decision is inconsistent with how similar cases were handled.</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employee is on, or recently requested, protected leave.</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issue involves pay, deductions, final wages, medical information, disability, pregnancy, injury, or protected activity.</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decision will be visible to a board, council, funder, auditor, plaintiff attorney, or agency.</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Letting the unemployment chargeback, not the facts, pick the classification.</w:t>
      </w:r>
    </w:p>
    <w:p>
      <w:pPr>
        <w:pStyle w:val="ListParagraph"/>
        <w:numPr>
          <w:ilvl w:val="0"/>
          <w:numId w:val="3"/>
        </w:numPr>
        <w:spacing w:after="90" w:line="288"/>
      </w:pPr>
      <w:r>
        <w:rPr>
          <w:rFonts w:ascii="Arial" w:cs="Arial" w:eastAsia="Arial" w:hAnsi="Arial"/>
          <w:color w:val="22303C"/>
          <w:sz w:val="21"/>
          <w:szCs w:val="21"/>
        </w:rPr>
        <w:t xml:space="preserve">Recording 'quit' when the employee resigned one sentence ahead of being fired — and then contesting their benefits.</w:t>
      </w:r>
    </w:p>
    <w:p>
      <w:pPr>
        <w:pStyle w:val="ListParagraph"/>
        <w:numPr>
          <w:ilvl w:val="0"/>
          <w:numId w:val="3"/>
        </w:numPr>
        <w:spacing w:after="90" w:line="288"/>
      </w:pPr>
      <w:r>
        <w:rPr>
          <w:rFonts w:ascii="Arial" w:cs="Arial" w:eastAsia="Arial" w:hAnsi="Arial"/>
          <w:color w:val="22303C"/>
          <w:sz w:val="21"/>
          <w:szCs w:val="21"/>
        </w:rPr>
        <w:t xml:space="preserve">Using 'mutual agreement' as a euphemism for a discharge nobody wants to own.</w:t>
      </w:r>
    </w:p>
    <w:p>
      <w:pPr>
        <w:pStyle w:val="ListParagraph"/>
        <w:numPr>
          <w:ilvl w:val="0"/>
          <w:numId w:val="3"/>
        </w:numPr>
        <w:spacing w:after="90" w:line="288"/>
      </w:pPr>
      <w:r>
        <w:rPr>
          <w:rFonts w:ascii="Arial" w:cs="Arial" w:eastAsia="Arial" w:hAnsi="Arial"/>
          <w:color w:val="22303C"/>
          <w:sz w:val="21"/>
          <w:szCs w:val="21"/>
        </w:rPr>
        <w:t xml:space="preserve">Missing the six-day final-pay deadline because the separation was misfiled as a quit.</w:t>
      </w:r>
    </w:p>
    <w:p>
      <w:pPr>
        <w:pStyle w:val="ListParagraph"/>
        <w:numPr>
          <w:ilvl w:val="0"/>
          <w:numId w:val="3"/>
        </w:numPr>
        <w:spacing w:after="90" w:line="288"/>
      </w:pPr>
      <w:r>
        <w:rPr>
          <w:rFonts w:ascii="Arial" w:cs="Arial" w:eastAsia="Arial" w:hAnsi="Arial"/>
          <w:color w:val="22303C"/>
          <w:sz w:val="21"/>
          <w:szCs w:val="21"/>
        </w:rPr>
        <w:t xml:space="preserve">Writing 'position eliminated' while immediately posting the same job.</w:t>
      </w:r>
    </w:p>
    <w:p>
      <w:pPr>
        <w:pStyle w:val="ListParagraph"/>
        <w:numPr>
          <w:ilvl w:val="0"/>
          <w:numId w:val="3"/>
        </w:numPr>
        <w:spacing w:after="90" w:line="288"/>
      </w:pPr>
      <w:r>
        <w:rPr>
          <w:rFonts w:ascii="Arial" w:cs="Arial" w:eastAsia="Arial" w:hAnsi="Arial"/>
          <w:color w:val="22303C"/>
          <w:sz w:val="21"/>
          <w:szCs w:val="21"/>
        </w:rPr>
        <w:t xml:space="preserve">Never writing down the exact words used at separation, then losing the classification dispute a year later.</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File the completed worksheet with the separation record, process final pay on the deadline the classification requires, and hand this file to whoever answers the unemployment claim — the response should quote it, not contradict it.</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Before you process payroll, terminate, classify, deduct, or respond to a claim, get the decision reviewed.</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Separation Classification | Version 2026.1 | 210.446.8730 | thomas@faulknerhrsolutions.info | faulknerhrsolutions.info/resources/separation-classification-worksheet/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COMPLIANCE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Separation Classification Worksheet</dc:title>
  <dc:creator>Faulkner HR Solutions</dc:creator>
  <dc:description>Quit, discharge, layoff, or abandonment — classify every separation once, correctly, with the facts written down.</dc:description>
  <cp:lastModifiedBy>Un-named</cp:lastModifiedBy>
  <cp:revision>1</cp:revision>
  <dcterms:created xsi:type="dcterms:W3CDTF">2026-07-04T08:16:05.113Z</dcterms:created>
  <dcterms:modified xsi:type="dcterms:W3CDTF">2026-07-04T08:16:05.113Z</dcterms:modified>
</cp:coreProperties>
</file>

<file path=docProps/custom.xml><?xml version="1.0" encoding="utf-8"?>
<Properties xmlns="http://schemas.openxmlformats.org/officeDocument/2006/custom-properties" xmlns:vt="http://schemas.openxmlformats.org/officeDocument/2006/docPropsVTypes"/>
</file>