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pPr>
      <w:r>
        <w:rPr>
          <w:rFonts w:ascii="Arial" w:cs="Arial" w:eastAsia="Arial" w:hAnsi="Arial"/>
          <w:b/>
          <w:bCs/>
          <w:color w:val="C49A3C"/>
          <w:spacing w:val="30"/>
          <w:sz w:val="17"/>
          <w:szCs w:val="17"/>
        </w:rPr>
        <w:t xml:space="preserve">EMPLOYER RISK ASSESSMENT  |  JURISDICTION: FEDERAL + TEXAS  |  VERSION 2026.1</w:t>
      </w:r>
    </w:p>
    <w:p>
      <w:pPr>
        <w:spacing w:after="120"/>
      </w:pPr>
      <w:r>
        <w:rPr>
          <w:rFonts w:ascii="Arial" w:cs="Arial" w:eastAsia="Arial" w:hAnsi="Arial"/>
          <w:b/>
          <w:bCs/>
          <w:color w:val="1B3A52"/>
          <w:sz w:val="44"/>
          <w:szCs w:val="44"/>
        </w:rPr>
        <w:t xml:space="preserve">Retaliation Risk Map</w:t>
      </w:r>
    </w:p>
    <w:p>
      <w:pPr>
        <w:spacing w:after="200" w:line="300"/>
      </w:pPr>
      <w:r>
        <w:rPr>
          <w:rFonts w:ascii="Arial" w:cs="Arial" w:eastAsia="Arial" w:hAnsi="Arial"/>
          <w:i/>
          <w:iCs/>
          <w:color w:val="4A5A6A"/>
          <w:sz w:val="22"/>
          <w:szCs w:val="22"/>
        </w:rPr>
        <w:t xml:space="preserve">Map the timeline between protected activity and adverse action before a decision looks like retaliation — because timing is the evidence.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60"/>
            </w:pPr>
            <w:r>
              <w:rPr>
                <w:rFonts w:ascii="Arial" w:cs="Arial" w:eastAsia="Arial" w:hAnsi="Arial"/>
                <w:b/>
                <w:bCs/>
                <w:color w:val="C49A3C"/>
                <w:spacing w:val="30"/>
                <w:sz w:val="17"/>
                <w:szCs w:val="17"/>
              </w:rPr>
              <w:t xml:space="preserve">WHAT THIS HELPS YOU DO</w:t>
            </w:r>
          </w:p>
          <w:p>
            <w:pPr>
              <w:spacing w:after="0" w:line="300"/>
            </w:pPr>
            <w:r>
              <w:rPr>
                <w:rFonts w:ascii="Arial" w:cs="Arial" w:eastAsia="Arial" w:hAnsi="Arial"/>
                <w:color w:val="22303C"/>
                <w:sz w:val="22"/>
                <w:szCs w:val="22"/>
              </w:rPr>
              <w:t xml:space="preserve">Use this map before taking any adverse action against an employee with recent protected activity, to assess timing, decision-maker knowledge, and evidence strength — and to rate the retaliation risk honestly before acting.</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WHEN TO USE THIS DOCUMENT</w:t>
      </w:r>
    </w:p>
    <w:p>
      <w:pPr>
        <w:pStyle w:val="ListParagraph"/>
        <w:numPr>
          <w:ilvl w:val="0"/>
          <w:numId w:val="2"/>
        </w:numPr>
        <w:spacing w:after="80" w:line="288"/>
      </w:pPr>
      <w:r>
        <w:rPr>
          <w:rFonts w:ascii="Arial" w:cs="Arial" w:eastAsia="Arial" w:hAnsi="Arial"/>
          <w:color w:val="22303C"/>
          <w:sz w:val="21"/>
          <w:szCs w:val="21"/>
        </w:rPr>
        <w:t xml:space="preserve">Before disciplining or terminating anyone who recently complained, reported an injury, or took leave</w:t>
      </w:r>
    </w:p>
    <w:p>
      <w:pPr>
        <w:pStyle w:val="ListParagraph"/>
        <w:numPr>
          <w:ilvl w:val="0"/>
          <w:numId w:val="2"/>
        </w:numPr>
        <w:spacing w:after="80" w:line="288"/>
      </w:pPr>
      <w:r>
        <w:rPr>
          <w:rFonts w:ascii="Arial" w:cs="Arial" w:eastAsia="Arial" w:hAnsi="Arial"/>
          <w:color w:val="22303C"/>
          <w:sz w:val="21"/>
          <w:szCs w:val="21"/>
        </w:rPr>
        <w:t xml:space="preserve">When a supervisor's frustration with an employee began after a complaint</w:t>
      </w:r>
    </w:p>
    <w:p>
      <w:pPr>
        <w:pStyle w:val="ListParagraph"/>
        <w:numPr>
          <w:ilvl w:val="0"/>
          <w:numId w:val="2"/>
        </w:numPr>
        <w:spacing w:after="80" w:line="288"/>
      </w:pPr>
      <w:r>
        <w:rPr>
          <w:rFonts w:ascii="Arial" w:cs="Arial" w:eastAsia="Arial" w:hAnsi="Arial"/>
          <w:color w:val="22303C"/>
          <w:sz w:val="21"/>
          <w:szCs w:val="21"/>
        </w:rPr>
        <w:t xml:space="preserve">Before cutting hours, changing schedules, or reassigning a recent complainant</w:t>
      </w:r>
    </w:p>
    <w:p>
      <w:pPr>
        <w:pStyle w:val="ListParagraph"/>
        <w:numPr>
          <w:ilvl w:val="0"/>
          <w:numId w:val="2"/>
        </w:numPr>
        <w:spacing w:after="80" w:line="288"/>
      </w:pPr>
      <w:r>
        <w:rPr>
          <w:rFonts w:ascii="Arial" w:cs="Arial" w:eastAsia="Arial" w:hAnsi="Arial"/>
          <w:color w:val="22303C"/>
          <w:sz w:val="21"/>
          <w:szCs w:val="21"/>
        </w:rPr>
        <w:t xml:space="preserve">After an investigation closes and someone asks 'can we deal with them now?'</w:t>
      </w:r>
    </w:p>
    <w:p>
      <w:pPr>
        <w:pStyle w:val="ListParagraph"/>
        <w:numPr>
          <w:ilvl w:val="0"/>
          <w:numId w:val="2"/>
        </w:numPr>
        <w:spacing w:after="80" w:line="288"/>
      </w:pPr>
      <w:r>
        <w:rPr>
          <w:rFonts w:ascii="Arial" w:cs="Arial" w:eastAsia="Arial" w:hAnsi="Arial"/>
          <w:color w:val="22303C"/>
          <w:sz w:val="21"/>
          <w:szCs w:val="21"/>
        </w:rPr>
        <w:t xml:space="preserve">When reviewing a proposed action flagged by the Termination Risk Review Worksheet</w:t>
      </w:r>
    </w:p>
    <w:p>
      <w:pPr>
        <w:keepNext/>
        <w:pBdr>
          <w:bottom w:val="single" w:color="C49A3C" w:sz="8" w:space="3"/>
        </w:pBdr>
        <w:spacing w:after="140" w:before="320"/>
      </w:pPr>
      <w:r>
        <w:rPr>
          <w:rFonts w:ascii="Arial" w:cs="Arial" w:eastAsia="Arial" w:hAnsi="Arial"/>
          <w:b/>
          <w:bCs/>
          <w:color w:val="1B3A52"/>
          <w:spacing w:val="20"/>
          <w:sz w:val="24"/>
          <w:szCs w:val="24"/>
        </w:rPr>
        <w:t xml:space="preserve">WHAT THIS DOCUMENT HELPS PREVENT</w:t>
      </w:r>
    </w:p>
    <w:p>
      <w:pPr>
        <w:pStyle w:val="ListParagraph"/>
        <w:numPr>
          <w:ilvl w:val="0"/>
          <w:numId w:val="2"/>
        </w:numPr>
        <w:spacing w:after="80" w:line="288"/>
      </w:pPr>
      <w:r>
        <w:rPr>
          <w:rFonts w:ascii="Arial" w:cs="Arial" w:eastAsia="Arial" w:hAnsi="Arial"/>
          <w:color w:val="22303C"/>
          <w:sz w:val="21"/>
          <w:szCs w:val="21"/>
        </w:rPr>
        <w:t xml:space="preserve">Retaliation claims — the most common charge filed with the EEOC</w:t>
      </w:r>
    </w:p>
    <w:p>
      <w:pPr>
        <w:pStyle w:val="ListParagraph"/>
        <w:numPr>
          <w:ilvl w:val="0"/>
          <w:numId w:val="2"/>
        </w:numPr>
        <w:spacing w:after="80" w:line="288"/>
      </w:pPr>
      <w:r>
        <w:rPr>
          <w:rFonts w:ascii="Arial" w:cs="Arial" w:eastAsia="Arial" w:hAnsi="Arial"/>
          <w:color w:val="22303C"/>
          <w:sz w:val="21"/>
          <w:szCs w:val="21"/>
        </w:rPr>
        <w:t xml:space="preserve">Adverse actions whose only real evidence is proximity to a complaint</w:t>
      </w:r>
    </w:p>
    <w:p>
      <w:pPr>
        <w:pStyle w:val="ListParagraph"/>
        <w:numPr>
          <w:ilvl w:val="0"/>
          <w:numId w:val="2"/>
        </w:numPr>
        <w:spacing w:after="80" w:line="288"/>
      </w:pPr>
      <w:r>
        <w:rPr>
          <w:rFonts w:ascii="Arial" w:cs="Arial" w:eastAsia="Arial" w:hAnsi="Arial"/>
          <w:color w:val="22303C"/>
          <w:sz w:val="21"/>
          <w:szCs w:val="21"/>
        </w:rPr>
        <w:t xml:space="preserve">Decision-makers acting on knowledge they should never have had</w:t>
      </w:r>
    </w:p>
    <w:p>
      <w:pPr>
        <w:pStyle w:val="ListParagraph"/>
        <w:numPr>
          <w:ilvl w:val="0"/>
          <w:numId w:val="2"/>
        </w:numPr>
        <w:spacing w:after="80" w:line="288"/>
      </w:pPr>
      <w:r>
        <w:rPr>
          <w:rFonts w:ascii="Arial" w:cs="Arial" w:eastAsia="Arial" w:hAnsi="Arial"/>
          <w:color w:val="22303C"/>
          <w:sz w:val="21"/>
          <w:szCs w:val="21"/>
        </w:rPr>
        <w:t xml:space="preserve">'Paper trails' that started the day after the employee complained</w:t>
      </w:r>
    </w:p>
    <w:p>
      <w:pPr>
        <w:pStyle w:val="ListParagraph"/>
        <w:numPr>
          <w:ilvl w:val="0"/>
          <w:numId w:val="2"/>
        </w:numPr>
        <w:spacing w:after="80" w:line="288"/>
      </w:pPr>
      <w:r>
        <w:rPr>
          <w:rFonts w:ascii="Arial" w:cs="Arial" w:eastAsia="Arial" w:hAnsi="Arial"/>
          <w:color w:val="22303C"/>
          <w:sz w:val="21"/>
          <w:szCs w:val="21"/>
        </w:rPr>
        <w:t xml:space="preserve">Escalation of a resolved complaint into a second, stronger claim</w:t>
      </w:r>
    </w:p>
    <w:p>
      <w:pPr>
        <w:spacing w:after="0" w:before="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0" w:line="300"/>
            </w:pPr>
            <w:r>
              <w:rPr>
                <w:rFonts w:ascii="Arial" w:cs="Arial" w:eastAsia="Arial" w:hAnsi="Arial"/>
                <w:i/>
                <w:iCs/>
                <w:color w:val="1B3A52"/>
                <w:sz w:val="21"/>
                <w:szCs w:val="21"/>
              </w:rPr>
              <w:t xml:space="preserve">Faulkner HR Solutions focuses on the system behind the people problem. This tool is designed to help employers slow down the decision, identify the risk, and create proof before the issue becomes a claim, complaint, turnover event, or credibility problem.</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BEFORE YOU START: READINESS CHECKLIST</w:t>
      </w:r>
    </w:p>
    <w:p>
      <w:pPr>
        <w:spacing w:after="140" w:line="288"/>
      </w:pPr>
      <w:r>
        <w:rPr>
          <w:rFonts w:ascii="Arial" w:cs="Arial" w:eastAsia="Arial" w:hAnsi="Arial"/>
          <w:color w:val="4A5A6A"/>
          <w:sz w:val="20"/>
          <w:szCs w:val="20"/>
        </w:rPr>
        <w:t xml:space="preserve">Gather the following before working through this document. Incomplete inputs are one of the most common reasons employer decisions fail under later scrutiny.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Have it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Input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 / location</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name and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Date of incident, request, or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 involved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or handbook section that applies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documentation on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 records,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Relevant emails, texts, notes, or complaints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Decision-maker name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Deadline,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pageBreakBefore/>
        <w:spacing w:after="4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RETALIATION RISK MAP</w:t>
      </w:r>
    </w:p>
    <w:p>
      <w:pPr>
        <w:spacing w:after="160" w:line="288"/>
      </w:pPr>
      <w:r>
        <w:rPr>
          <w:rFonts w:ascii="Arial" w:cs="Arial" w:eastAsia="Arial" w:hAnsi="Arial"/>
          <w:color w:val="4A5A6A"/>
          <w:sz w:val="20"/>
          <w:szCs w:val="20"/>
        </w:rPr>
        <w:t xml:space="preserve">Retaliation is proven by sequence: protected activity, employer knowledge, adverse action, and a connection between them. This map examines each link honestly — before a claimant's lawyer does.</w:t>
      </w:r>
    </w:p>
    <w:p>
      <w:pPr>
        <w:keepNext/>
        <w:spacing w:after="100" w:before="220"/>
      </w:pPr>
      <w:r>
        <w:rPr>
          <w:rFonts w:ascii="Arial" w:cs="Arial" w:eastAsia="Arial" w:hAnsi="Arial"/>
          <w:b/>
          <w:bCs/>
          <w:color w:val="1B3A52"/>
          <w:sz w:val="22"/>
          <w:szCs w:val="22"/>
        </w:rPr>
        <w:t xml:space="preserve">Part 1 — Protected Activity History</w:t>
      </w:r>
    </w:p>
    <w:p>
      <w:pPr>
        <w:spacing w:after="120" w:line="288"/>
      </w:pPr>
      <w:r>
        <w:rPr>
          <w:rFonts w:ascii="Arial" w:cs="Arial" w:eastAsia="Arial" w:hAnsi="Arial"/>
          <w:color w:val="4A5A6A"/>
          <w:sz w:val="20"/>
          <w:szCs w:val="20"/>
        </w:rPr>
        <w:t xml:space="preserve">List every instance of protected activity in the last 18 months, however informal. A hallway complaint to a shift lead counts.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411"/>
        <w:gridCol w:w="4233"/>
        <w:gridCol w:w="2016"/>
        <w:gridCol w:w="2420"/>
      </w:tblGrid>
      <w:tr>
        <w:trPr>
          <w:tblHeader/>
        </w:trPr>
        <w:tc>
          <w:tcPr>
            <w:tcW w:type="dxa" w:w="141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c>
          <w:tcPr>
            <w:tcW w:type="dxa" w:w="42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Protected activity (complaint, injury report, leave, wage concern, testimony)</w:t>
            </w:r>
          </w:p>
        </w:tc>
        <w:tc>
          <w:tcPr>
            <w:tcW w:type="dxa" w:w="201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Raised to whom</w:t>
            </w:r>
          </w:p>
        </w:tc>
        <w:tc>
          <w:tcPr>
            <w:tcW w:type="dxa" w:w="242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Documented where</w:t>
            </w:r>
          </w:p>
        </w:tc>
      </w:tr>
      <w:tr>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2 — Proposed Adverse Action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Action being considered (termination, discipline, demotion, schedule cut, transfer)</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Business reason for the action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Person recommending the action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Person who will make the final decision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Proposed effective date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3 — Timing Analysis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Date of most recent protected activity</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Date performance/conduct concerns were FIRST documented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Days between protected activity and proposed action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Did documented concerns exist BEFORE the protected activity? (cite documents)</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What changed between the protected activity and now?</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4 — Decision-Maker Knowledge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Yes?</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Knowledge question</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Details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Does the decision-maker know about the protected activity?</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Was the decision-maker involved in, or criticized by, the complaint?</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Did anyone involved in the complaint suggest or influence this action?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Has the decision-maker made comments about the complaint, the leave, or the claim?</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Could the decision be made instead by someone without knowledge of the protected activity?</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5 — Adverse Action Review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True</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Evidence strength check</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Cite the proof</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The business reason is supported by documents created before the protected activity</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Similar employees without protected activity received the same treatment for the same issue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The policy being enforced has been enforced consistently before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The action follows the normal progression of your discipline process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The file would make sense to an outsider who never saw the complaint</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6 — Risk Level</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75"/>
        <w:gridCol w:w="6329"/>
        <w:gridCol w:w="1876"/>
      </w:tblGrid>
      <w:tr>
        <w:trPr>
          <w:tblHeader/>
        </w:trPr>
        <w:tc>
          <w:tcPr>
            <w:tcW w:type="dxa" w:w="187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Risk level</w:t>
            </w:r>
          </w:p>
        </w:tc>
        <w:tc>
          <w:tcPr>
            <w:tcW w:type="dxa" w:w="632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Typical profile</w:t>
            </w:r>
          </w:p>
        </w:tc>
        <w:tc>
          <w:tcPr>
            <w:tcW w:type="dxa" w:w="187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Mark one</w:t>
            </w:r>
          </w:p>
        </w:tc>
      </w:tr>
      <w:tr>
        <w:tc>
          <w:tcPr>
            <w:tcW w:type="dxa" w:w="187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LOW</w:t>
            </w:r>
          </w:p>
        </w:tc>
        <w:tc>
          <w:tcPr>
            <w:tcW w:type="dxa" w:w="63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Concerns documented long before protected activity; consistent treatment; decision-maker insulated; normal process followed</w:t>
            </w:r>
          </w:p>
        </w:tc>
        <w:tc>
          <w:tcPr>
            <w:tcW w:type="dxa" w:w="187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87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MODERATE</w:t>
            </w:r>
          </w:p>
        </w:tc>
        <w:tc>
          <w:tcPr>
            <w:tcW w:type="dxa" w:w="63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Some prior documentation but gaps; short timeline; decision-maker knows of the activity; consistency uneven</w:t>
            </w:r>
          </w:p>
        </w:tc>
        <w:tc>
          <w:tcPr>
            <w:tcW w:type="dxa" w:w="187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87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HIGH</w:t>
            </w:r>
          </w:p>
        </w:tc>
        <w:tc>
          <w:tcPr>
            <w:tcW w:type="dxa" w:w="63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First documentation appears after the complaint; action within weeks of protected activity; decision-maker involved in the complaint; treatment differs from comparators</w:t>
            </w:r>
          </w:p>
        </w:tc>
        <w:tc>
          <w:tcPr>
            <w:tcW w:type="dxa" w:w="187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7 — Mitigation Plan</w:t>
      </w:r>
    </w:p>
    <w:p>
      <w:pPr>
        <w:spacing w:after="120" w:line="288"/>
      </w:pPr>
      <w:r>
        <w:rPr>
          <w:rFonts w:ascii="Arial" w:cs="Arial" w:eastAsia="Arial" w:hAnsi="Arial"/>
          <w:color w:val="4A5A6A"/>
          <w:sz w:val="20"/>
          <w:szCs w:val="20"/>
        </w:rPr>
        <w:t xml:space="preserve">If risk is moderate or high: what will you change — the timing, the decision-maker, the action itself, or the documentation — before proceeding?</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spacing w:after="120"/>
      </w:pPr>
      <w:r>
        <w:rPr>
          <w:rFonts w:ascii="Arial" w:cs="Arial" w:eastAsia="Arial" w:hAnsi="Arial"/>
          <w:color w:val="22303C"/>
          <w:sz w:val="8"/>
          <w:szCs w:val="8"/>
        </w:rPr>
        <w:t xml:space="preserve"> </w:t>
      </w:r>
    </w:p>
    <w:p>
      <w:pPr>
        <w:spacing w:after="16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4636"/>
        <w:gridCol w:w="2219"/>
      </w:tblGrid>
      <w:tr>
        <w:trPr>
          <w:tblHeader/>
        </w:trPr>
        <w:tc>
          <w:tcPr>
            <w:tcW w:type="dxa" w:w="32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Role</w:t>
            </w:r>
          </w:p>
        </w:tc>
        <w:tc>
          <w:tcPr>
            <w:tcW w:type="dxa" w:w="46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Name / signature</w:t>
            </w:r>
          </w:p>
        </w:tc>
        <w:tc>
          <w:tcPr>
            <w:tcW w:type="dxa" w:w="221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Assessed by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Reviewed by (HR / counsel)</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Decision authority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STOP AND REVIEW BEFORE ACTING</w:t>
      </w:r>
    </w:p>
    <w:p>
      <w:pPr>
        <w:spacing w:after="140" w:line="288"/>
      </w:pPr>
      <w:r>
        <w:rPr>
          <w:rFonts w:ascii="Arial" w:cs="Arial" w:eastAsia="Arial" w:hAnsi="Arial"/>
          <w:color w:val="4A5A6A"/>
          <w:sz w:val="20"/>
          <w:szCs w:val="20"/>
        </w:rPr>
        <w:t xml:space="preserve">If any statement below is true, pause. Get the decision reviewed by HR, counsel, or Faulkner HR Solutions before you 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B33A3A" w:sz="24"/>
              <w:bottom w:val="single" w:color="D8E0E8" w:sz="2"/>
              <w:right w:val="single" w:color="D8E0E8" w:sz="2"/>
            </w:tcBorders>
            <w:shd w:fill="FBF1F1" w:val="clear"/>
            <w:tcMar>
              <w:top w:type="dxa" w:w="140"/>
              <w:left w:type="dxa" w:w="180"/>
              <w:bottom w:type="dxa" w:w="140"/>
              <w:right w:type="dxa" w:w="180"/>
            </w:tcMar>
          </w:tcPr>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employee recently complained about pay, harassment, discrimination, safety, leave, or retaliation.</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supervisor has no prior documentation.</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decision is inconsistent with how similar cases were handled.</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employee is on, or recently requested, protected leave.</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issue involves pay, deductions, final wages, medical information, disability, pregnancy, injury, or protected activity.</w:t>
            </w:r>
          </w:p>
          <w:p>
            <w:pPr>
              <w:spacing w:after="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decision will be visible to a board, council, funder, auditor, plaintiff attorney, or agency.</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MINIMUM DOCUMENTATION STANDARD</w:t>
      </w:r>
    </w:p>
    <w:p>
      <w:pPr>
        <w:spacing w:after="140" w:line="288"/>
      </w:pPr>
      <w:r>
        <w:rPr>
          <w:rFonts w:ascii="Arial" w:cs="Arial" w:eastAsia="Arial" w:hAnsi="Arial"/>
          <w:color w:val="4A5A6A"/>
          <w:sz w:val="20"/>
          <w:szCs w:val="20"/>
        </w:rPr>
        <w:t xml:space="preserve">Before this file is closed, the employer should be able to answer every question below and point to where the proof lives.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rPr>
          <w:tblHeader/>
        </w:trPr>
        <w:tc>
          <w:tcPr>
            <w:tcW w:type="dxa" w:w="42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Question</w:t>
            </w:r>
          </w:p>
        </w:tc>
        <w:tc>
          <w:tcPr>
            <w:tcW w:type="dxa" w:w="584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Your answer / where the proof is stored</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happened?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When did it happen?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observed or reported it?</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policy, standard, deadline, or expectation applies?</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decision was made?</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had authority to make the decision?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alternatives were considered?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risk was reviewed?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follow-up is required?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Where is the proof stored?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COMMON MISTAKES</w:t>
      </w:r>
    </w:p>
    <w:p>
      <w:pPr>
        <w:pStyle w:val="ListParagraph"/>
        <w:numPr>
          <w:ilvl w:val="0"/>
          <w:numId w:val="3"/>
        </w:numPr>
        <w:spacing w:after="90" w:line="288"/>
      </w:pPr>
      <w:r>
        <w:rPr>
          <w:rFonts w:ascii="Arial" w:cs="Arial" w:eastAsia="Arial" w:hAnsi="Arial"/>
          <w:color w:val="22303C"/>
          <w:sz w:val="21"/>
          <w:szCs w:val="21"/>
        </w:rPr>
        <w:t xml:space="preserve">Assuming a weak underlying complaint means a weak retaliation claim — retaliation stands on its own.</w:t>
      </w:r>
    </w:p>
    <w:p>
      <w:pPr>
        <w:pStyle w:val="ListParagraph"/>
        <w:numPr>
          <w:ilvl w:val="0"/>
          <w:numId w:val="3"/>
        </w:numPr>
        <w:spacing w:after="90" w:line="288"/>
      </w:pPr>
      <w:r>
        <w:rPr>
          <w:rFonts w:ascii="Arial" w:cs="Arial" w:eastAsia="Arial" w:hAnsi="Arial"/>
          <w:color w:val="22303C"/>
          <w:sz w:val="21"/>
          <w:szCs w:val="21"/>
        </w:rPr>
        <w:t xml:space="preserve">Starting the paper trail the day after the complaint and expecting no one to notice the date stamps.</w:t>
      </w:r>
    </w:p>
    <w:p>
      <w:pPr>
        <w:pStyle w:val="ListParagraph"/>
        <w:numPr>
          <w:ilvl w:val="0"/>
          <w:numId w:val="3"/>
        </w:numPr>
        <w:spacing w:after="90" w:line="288"/>
      </w:pPr>
      <w:r>
        <w:rPr>
          <w:rFonts w:ascii="Arial" w:cs="Arial" w:eastAsia="Arial" w:hAnsi="Arial"/>
          <w:color w:val="22303C"/>
          <w:sz w:val="21"/>
          <w:szCs w:val="21"/>
        </w:rPr>
        <w:t xml:space="preserve">Letting the person criticized in the complaint recommend the punishment.</w:t>
      </w:r>
    </w:p>
    <w:p>
      <w:pPr>
        <w:pStyle w:val="ListParagraph"/>
        <w:numPr>
          <w:ilvl w:val="0"/>
          <w:numId w:val="3"/>
        </w:numPr>
        <w:spacing w:after="90" w:line="288"/>
      </w:pPr>
      <w:r>
        <w:rPr>
          <w:rFonts w:ascii="Arial" w:cs="Arial" w:eastAsia="Arial" w:hAnsi="Arial"/>
          <w:color w:val="22303C"/>
          <w:sz w:val="21"/>
          <w:szCs w:val="21"/>
        </w:rPr>
        <w:t xml:space="preserve">Treating 'we were going to fire them anyway' as a defense without documents that predate the complaint.</w:t>
      </w:r>
    </w:p>
    <w:p>
      <w:pPr>
        <w:pStyle w:val="ListParagraph"/>
        <w:numPr>
          <w:ilvl w:val="0"/>
          <w:numId w:val="3"/>
        </w:numPr>
        <w:spacing w:after="90" w:line="288"/>
      </w:pPr>
      <w:r>
        <w:rPr>
          <w:rFonts w:ascii="Arial" w:cs="Arial" w:eastAsia="Arial" w:hAnsi="Arial"/>
          <w:color w:val="22303C"/>
          <w:sz w:val="21"/>
          <w:szCs w:val="21"/>
        </w:rPr>
        <w:t xml:space="preserve">Ignoring small adverse actions — schedule cuts, exclusion from meetings, sudden micro-management — that build a pattern.</w:t>
      </w:r>
    </w:p>
    <w:p>
      <w:pPr>
        <w:pStyle w:val="ListParagraph"/>
        <w:numPr>
          <w:ilvl w:val="0"/>
          <w:numId w:val="3"/>
        </w:numPr>
        <w:spacing w:after="90" w:line="288"/>
      </w:pPr>
      <w:r>
        <w:rPr>
          <w:rFonts w:ascii="Arial" w:cs="Arial" w:eastAsia="Arial" w:hAnsi="Arial"/>
          <w:color w:val="22303C"/>
          <w:sz w:val="21"/>
          <w:szCs w:val="21"/>
        </w:rPr>
        <w:t xml:space="preserve">Rushing the action to 'get it over with' when time and documentation are what lower the risk.</w:t>
      </w:r>
    </w:p>
    <w:p>
      <w:pPr>
        <w:keepNext/>
        <w:pBdr>
          <w:bottom w:val="single" w:color="C49A3C" w:sz="8" w:space="3"/>
        </w:pBdr>
        <w:spacing w:after="140" w:before="320"/>
      </w:pPr>
      <w:r>
        <w:rPr>
          <w:rFonts w:ascii="Arial" w:cs="Arial" w:eastAsia="Arial" w:hAnsi="Arial"/>
          <w:b/>
          <w:bCs/>
          <w:color w:val="1B3A52"/>
          <w:spacing w:val="20"/>
          <w:sz w:val="24"/>
          <w:szCs w:val="24"/>
        </w:rPr>
        <w:t xml:space="preserve">WHAT TO DO NEXT</w:t>
      </w:r>
    </w:p>
    <w:p>
      <w:pPr>
        <w:spacing w:after="120" w:line="300"/>
      </w:pPr>
      <w:r>
        <w:rPr>
          <w:rFonts w:ascii="Arial" w:cs="Arial" w:eastAsia="Arial" w:hAnsi="Arial"/>
          <w:color w:val="22303C"/>
          <w:sz w:val="21"/>
          <w:szCs w:val="21"/>
        </w:rPr>
        <w:t xml:space="preserve">File the completed map with the decision record. If risk is low, proceed with normal documentation and consistent process. If moderate or high, execute the mitigation plan first — change the decision-maker, strengthen the record, or adjust the action — and have the final decision reviewed before anything is communicated.</w:t>
      </w:r>
    </w:p>
    <w:p>
      <w:pPr>
        <w:spacing w:after="0" w:before="12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80" w:line="288"/>
            </w:pPr>
            <w:r>
              <w:rPr>
                <w:rFonts w:ascii="Arial" w:cs="Arial" w:eastAsia="Arial" w:hAnsi="Arial"/>
                <w:b/>
                <w:bCs/>
                <w:color w:val="1B3A52"/>
                <w:sz w:val="21"/>
                <w:szCs w:val="21"/>
              </w:rPr>
              <w:t xml:space="preserve">Before you terminate, deduct, discipline, classify, or respond, get the decision reviewed.</w:t>
            </w:r>
          </w:p>
          <w:p>
            <w:pPr>
              <w:spacing w:after="0"/>
            </w:pPr>
            <w:r>
              <w:rPr>
                <w:rFonts w:ascii="Arial" w:cs="Arial" w:eastAsia="Arial" w:hAnsi="Arial"/>
                <w:color w:val="22303C"/>
                <w:sz w:val="20"/>
                <w:szCs w:val="20"/>
              </w:rPr>
              <w:t xml:space="preserve">Call 210.446.8730 or email thomas@faulknerhrsolutions.info.</w:t>
            </w:r>
          </w:p>
        </w:tc>
      </w:tr>
    </w:tbl>
    <w:p>
      <w:pPr>
        <w:pageBreakBefore/>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0" w:line="300"/>
            </w:pPr>
            <w:r>
              <w:rPr>
                <w:rFonts w:ascii="Arial" w:cs="Arial" w:eastAsia="Arial" w:hAnsi="Arial"/>
                <w:b/>
                <w:bCs/>
                <w:i/>
                <w:iCs/>
                <w:color w:val="1B3A52"/>
                <w:sz w:val="21"/>
                <w:szCs w:val="21"/>
              </w:rPr>
              <w:t xml:space="preserve">Before you process payroll, terminate, classify, deduct, or respond to a claim, get the decision reviewed.</w:t>
            </w:r>
          </w:p>
        </w:tc>
      </w:tr>
    </w:tbl>
    <w:p>
      <w:pPr>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140"/>
            </w:pPr>
            <w:r>
              <w:rPr>
                <w:rFonts w:ascii="Arial" w:cs="Arial" w:eastAsia="Arial" w:hAnsi="Arial"/>
                <w:b/>
                <w:bCs/>
                <w:color w:val="1B3A52"/>
                <w:sz w:val="28"/>
                <w:szCs w:val="28"/>
              </w:rPr>
              <w:t xml:space="preserve">Need help applying this to a real workplace decision?</w:t>
            </w:r>
          </w:p>
          <w:p>
            <w:pPr>
              <w:spacing w:after="120" w:line="300"/>
            </w:pPr>
            <w:r>
              <w:rPr>
                <w:rFonts w:ascii="Arial" w:cs="Arial" w:eastAsia="Arial" w:hAnsi="Arial"/>
                <w:color w:val="22303C"/>
                <w:sz w:val="21"/>
                <w:szCs w:val="21"/>
              </w:rPr>
              <w:t xml:space="preserve">Faulkner HR Solutions helps Texas employers, nonprofits, municipalities, and growing businesses fix the people systems behind recurring workplace problems.</w:t>
            </w:r>
          </w:p>
          <w:p>
            <w:pPr>
              <w:spacing w:after="160" w:line="300"/>
            </w:pPr>
            <w:r>
              <w:rPr>
                <w:rFonts w:ascii="Arial" w:cs="Arial" w:eastAsia="Arial" w:hAnsi="Arial"/>
                <w:b/>
                <w:bCs/>
                <w:color w:val="22303C"/>
                <w:sz w:val="21"/>
                <w:szCs w:val="21"/>
              </w:rPr>
              <w:t xml:space="preserve">If this document raised a risk flag, do not guess your way through the next step.</w:t>
            </w:r>
          </w:p>
          <w:p>
            <w:pPr>
              <w:spacing w:after="60"/>
            </w:pPr>
            <w:r>
              <w:rPr>
                <w:rFonts w:ascii="Arial" w:cs="Arial" w:eastAsia="Arial" w:hAnsi="Arial"/>
                <w:b/>
                <w:bCs/>
                <w:color w:val="1B3A52"/>
                <w:sz w:val="21"/>
                <w:szCs w:val="21"/>
              </w:rPr>
              <w:t xml:space="preserve">Call:  </w:t>
            </w:r>
            <w:r>
              <w:rPr>
                <w:rFonts w:ascii="Arial" w:cs="Arial" w:eastAsia="Arial" w:hAnsi="Arial"/>
                <w:b/>
                <w:bCs/>
                <w:color w:val="1B3A52"/>
                <w:sz w:val="24"/>
                <w:szCs w:val="24"/>
              </w:rPr>
              <w:t xml:space="preserve">210.446.8730</w:t>
            </w:r>
          </w:p>
          <w:p>
            <w:pPr>
              <w:spacing w:after="60"/>
            </w:pPr>
            <w:r>
              <w:rPr>
                <w:rFonts w:ascii="Arial" w:cs="Arial" w:eastAsia="Arial" w:hAnsi="Arial"/>
                <w:b/>
                <w:bCs/>
                <w:color w:val="1B3A52"/>
                <w:sz w:val="21"/>
                <w:szCs w:val="21"/>
              </w:rPr>
              <w:t xml:space="preserve">Email:  </w:t>
            </w:r>
            <w:r>
              <w:rPr>
                <w:rFonts w:ascii="Arial" w:cs="Arial" w:eastAsia="Arial" w:hAnsi="Arial"/>
                <w:color w:val="22303C"/>
                <w:sz w:val="22"/>
                <w:szCs w:val="22"/>
              </w:rPr>
              <w:t xml:space="preserve">thomas@faulknerhrsolutions.info</w:t>
            </w:r>
          </w:p>
          <w:p>
            <w:pPr>
              <w:spacing w:after="0"/>
            </w:pPr>
            <w:r>
              <w:rPr>
                <w:rFonts w:ascii="Arial" w:cs="Arial" w:eastAsia="Arial" w:hAnsi="Arial"/>
                <w:b/>
                <w:bCs/>
                <w:color w:val="1B3A52"/>
                <w:sz w:val="21"/>
                <w:szCs w:val="21"/>
              </w:rPr>
              <w:t xml:space="preserve">Website:  </w:t>
            </w:r>
            <w:r>
              <w:rPr>
                <w:rFonts w:ascii="Arial" w:cs="Arial" w:eastAsia="Arial" w:hAnsi="Arial"/>
                <w:color w:val="22303C"/>
                <w:sz w:val="22"/>
                <w:szCs w:val="22"/>
              </w:rPr>
              <w:t xml:space="preserve">faulknerhrsolutions.info</w:t>
            </w:r>
          </w:p>
        </w:tc>
      </w:tr>
    </w:tbl>
    <w:p>
      <w:pPr>
        <w:spacing w:after="100" w:before="300"/>
      </w:pPr>
      <w:r>
        <w:rPr>
          <w:rFonts w:ascii="Arial" w:cs="Arial" w:eastAsia="Arial" w:hAnsi="Arial"/>
          <w:b/>
          <w:bCs/>
          <w:color w:val="4A5A6A"/>
          <w:spacing w:val="20"/>
          <w:sz w:val="18"/>
          <w:szCs w:val="18"/>
        </w:rPr>
        <w:t xml:space="preserve">DISCLAIMER</w:t>
      </w:r>
    </w:p>
    <w:p>
      <w:pPr>
        <w:spacing w:after="0" w:line="276"/>
      </w:pPr>
      <w:r>
        <w:rPr>
          <w:rFonts w:ascii="Arial" w:cs="Arial" w:eastAsia="Arial" w:hAnsi="Arial"/>
          <w:color w:val="4A5A6A"/>
          <w:sz w:val="18"/>
          <w:szCs w:val="18"/>
        </w:rPr>
        <w:t xml:space="preserve">This resource is provided for general employer education and planning purposes. It is not legal advice and does not create an attorney-client relationship. Employment laws, agency guidance, and local requirements may change. Employers should review the facts of each situation before acting and consult appropriate HR or legal counsel when needed.</w:t>
      </w:r>
    </w:p>
    <w:sectPr>
      <w:headerReference w:type="default" r:id="rId7"/>
      <w:footerReference w:type="default" r:id="rId8"/>
      <w:pgSz w:w="12240" w:h="15840" w:orient="portrait"/>
      <w:pgMar w:top="128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0E8" w:sz="4" w:space="4"/>
      </w:pBdr>
      <w:spacing w:after="0" w:before="80"/>
      <w:jc w:val="center"/>
    </w:pPr>
    <w:r>
      <w:rPr>
        <w:rFonts w:ascii="Arial" w:cs="Arial" w:eastAsia="Arial" w:hAnsi="Arial"/>
        <w:color w:val="4A5A6A"/>
        <w:sz w:val="14"/>
        <w:szCs w:val="14"/>
      </w:rPr>
      <w:t xml:space="preserve">Faulkner HR Solutions | Retaliation Risk Map | Version 2026.1 | 210.446.8730 | thomas@faulknerhrsolutions.info | faulknerhrsolutions.info/resources/retaliation-risk-map/ | Page </w:t>
    </w:r>
    <w:r>
      <w:rPr>
        <w:rFonts w:ascii="Arial" w:cs="Arial" w:eastAsia="Arial" w:hAnsi="Arial"/>
        <w:color w:val="4A5A6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2" w:sz="10" w:space="4"/>
      </w:pBdr>
      <w:tabs>
        <w:tab w:val="right" w:pos="10080"/>
      </w:tabs>
      <w:spacing w:after="120"/>
    </w:pPr>
    <w:r>
      <w:drawing>
        <wp:inline distT="0" distB="0" distL="0" distR="0">
          <wp:extent cx="247650" cy="247650"/>
          <wp:effectExtent t="0" r="0" b="0" l="0"/>
          <wp:docPr id="1" name="FHRS logo" descr="Faulkner HR Solutions logo" title="Faulkner HR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47650" cy="247650"/>
                  </a:xfrm>
                  <a:prstGeom prst="rect">
                    <a:avLst/>
                  </a:prstGeom>
                </pic:spPr>
              </pic:pic>
            </a:graphicData>
          </a:graphic>
        </wp:inline>
      </w:drawing>
    </w:r>
    <w:r>
      <w:rPr>
        <w:rFonts w:ascii="Arial" w:cs="Arial" w:eastAsia="Arial" w:hAnsi="Arial"/>
        <w:b/>
        <w:bCs/>
        <w:color w:val="1B3A52"/>
        <w:spacing w:val="20"/>
        <w:sz w:val="19"/>
        <w:szCs w:val="19"/>
      </w:rPr>
      <w:t xml:space="preserve">  FAULKNER HR SOLUTIONS</w:t>
    </w:r>
    <w:r>
      <w:rPr>
        <w:rFonts w:ascii="Arial" w:cs="Arial" w:eastAsia="Arial" w:hAnsi="Arial"/>
        <w:b/>
        <w:bCs/>
        <w:color w:val="C49A3C"/>
        <w:spacing w:val="30"/>
        <w:sz w:val="18"/>
        <w:szCs w:val="18"/>
      </w:rPr>
      <w:t xml:space="preserve">	SUPERVISOR RISK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303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2637c615e06f591d83d3816096da2235005184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Retaliation Risk Map</dc:title>
  <dc:creator>Faulkner HR Solutions</dc:creator>
  <dc:description>Map the timeline between protected activity and adverse action before a decision looks like retaliation — because timing is the evidence.</dc:description>
  <cp:lastModifiedBy>Un-named</cp:lastModifiedBy>
  <cp:revision>1</cp:revision>
  <dcterms:created xsi:type="dcterms:W3CDTF">2026-07-04T08:16:04.488Z</dcterms:created>
  <dcterms:modified xsi:type="dcterms:W3CDTF">2026-07-04T08:16:04.488Z</dcterms:modified>
</cp:coreProperties>
</file>

<file path=docProps/custom.xml><?xml version="1.0" encoding="utf-8"?>
<Properties xmlns="http://schemas.openxmlformats.org/officeDocument/2006/custom-properties" xmlns:vt="http://schemas.openxmlformats.org/officeDocument/2006/docPropsVTypes"/>
</file>