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POLICY PACKET  |  JURISDICTION: FEDERAL  |  VERSION 2026.1</w:t>
      </w:r>
    </w:p>
    <w:p>
      <w:pPr>
        <w:spacing w:after="120"/>
      </w:pPr>
      <w:r>
        <w:rPr>
          <w:rFonts w:ascii="Arial" w:cs="Arial" w:eastAsia="Arial" w:hAnsi="Arial"/>
          <w:b/>
          <w:bCs/>
          <w:color w:val="1B3A52"/>
          <w:sz w:val="44"/>
          <w:szCs w:val="44"/>
        </w:rPr>
        <w:t xml:space="preserve">Reimbursement + Accountable Plan Policy Packet</w:t>
      </w:r>
    </w:p>
    <w:p>
      <w:pPr>
        <w:spacing w:after="200" w:line="300"/>
      </w:pPr>
      <w:r>
        <w:rPr>
          <w:rFonts w:ascii="Arial" w:cs="Arial" w:eastAsia="Arial" w:hAnsi="Arial"/>
          <w:i/>
          <w:iCs/>
          <w:color w:val="4A5A6A"/>
          <w:sz w:val="22"/>
          <w:szCs w:val="22"/>
        </w:rPr>
        <w:t xml:space="preserve">Keep reimbursements tax-free and clean: business purpose, substantiation deadlines, category rules, and repayment of excess advances.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packet to establish an IRS-compliant accountable plan — so mileage, phone, tools, and travel reimbursements stay off W-2s, and the substantiation habit that makes it work actually exists.</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reimbursing employees for anything, however informally</w:t>
      </w:r>
    </w:p>
    <w:p>
      <w:pPr>
        <w:pStyle w:val="ListParagraph"/>
        <w:numPr>
          <w:ilvl w:val="0"/>
          <w:numId w:val="2"/>
        </w:numPr>
        <w:spacing w:after="80" w:line="288"/>
      </w:pPr>
      <w:r>
        <w:rPr>
          <w:rFonts w:ascii="Arial" w:cs="Arial" w:eastAsia="Arial" w:hAnsi="Arial"/>
          <w:color w:val="22303C"/>
          <w:sz w:val="21"/>
          <w:szCs w:val="21"/>
        </w:rPr>
        <w:t xml:space="preserve">When setting flat allowances for phone, vehicle, or tools</w:t>
      </w:r>
    </w:p>
    <w:p>
      <w:pPr>
        <w:pStyle w:val="ListParagraph"/>
        <w:numPr>
          <w:ilvl w:val="0"/>
          <w:numId w:val="2"/>
        </w:numPr>
        <w:spacing w:after="80" w:line="288"/>
      </w:pPr>
      <w:r>
        <w:rPr>
          <w:rFonts w:ascii="Arial" w:cs="Arial" w:eastAsia="Arial" w:hAnsi="Arial"/>
          <w:color w:val="22303C"/>
          <w:sz w:val="21"/>
          <w:szCs w:val="21"/>
        </w:rPr>
        <w:t xml:space="preserve">Before paying travel advances</w:t>
      </w:r>
    </w:p>
    <w:p>
      <w:pPr>
        <w:pStyle w:val="ListParagraph"/>
        <w:numPr>
          <w:ilvl w:val="0"/>
          <w:numId w:val="2"/>
        </w:numPr>
        <w:spacing w:after="80" w:line="288"/>
      </w:pPr>
      <w:r>
        <w:rPr>
          <w:rFonts w:ascii="Arial" w:cs="Arial" w:eastAsia="Arial" w:hAnsi="Arial"/>
          <w:color w:val="22303C"/>
          <w:sz w:val="21"/>
          <w:szCs w:val="21"/>
        </w:rPr>
        <w:t xml:space="preserve">When reimbursements are drifting through payroll as taxable pay</w:t>
      </w:r>
    </w:p>
    <w:p>
      <w:pPr>
        <w:pStyle w:val="ListParagraph"/>
        <w:numPr>
          <w:ilvl w:val="0"/>
          <w:numId w:val="2"/>
        </w:numPr>
        <w:spacing w:after="80" w:line="288"/>
      </w:pPr>
      <w:r>
        <w:rPr>
          <w:rFonts w:ascii="Arial" w:cs="Arial" w:eastAsia="Arial" w:hAnsi="Arial"/>
          <w:color w:val="22303C"/>
          <w:sz w:val="21"/>
          <w:szCs w:val="21"/>
        </w:rPr>
        <w:t xml:space="preserve">At year-end, before W-2s lock in the consequences</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Reimbursements reclassified as taxable wages — with payroll taxes, penalties, and amended W-2s</w:t>
      </w:r>
    </w:p>
    <w:p>
      <w:pPr>
        <w:pStyle w:val="ListParagraph"/>
        <w:numPr>
          <w:ilvl w:val="0"/>
          <w:numId w:val="2"/>
        </w:numPr>
        <w:spacing w:after="80" w:line="288"/>
      </w:pPr>
      <w:r>
        <w:rPr>
          <w:rFonts w:ascii="Arial" w:cs="Arial" w:eastAsia="Arial" w:hAnsi="Arial"/>
          <w:color w:val="22303C"/>
          <w:sz w:val="21"/>
          <w:szCs w:val="21"/>
        </w:rPr>
        <w:t xml:space="preserve">Allowances that were quietly compensation all along</w:t>
      </w:r>
    </w:p>
    <w:p>
      <w:pPr>
        <w:pStyle w:val="ListParagraph"/>
        <w:numPr>
          <w:ilvl w:val="0"/>
          <w:numId w:val="2"/>
        </w:numPr>
        <w:spacing w:after="80" w:line="288"/>
      </w:pPr>
      <w:r>
        <w:rPr>
          <w:rFonts w:ascii="Arial" w:cs="Arial" w:eastAsia="Arial" w:hAnsi="Arial"/>
          <w:color w:val="22303C"/>
          <w:sz w:val="21"/>
          <w:szCs w:val="21"/>
        </w:rPr>
        <w:t xml:space="preserve">Advance payments no one ever substantiated or returned</w:t>
      </w:r>
    </w:p>
    <w:p>
      <w:pPr>
        <w:pStyle w:val="ListParagraph"/>
        <w:numPr>
          <w:ilvl w:val="0"/>
          <w:numId w:val="2"/>
        </w:numPr>
        <w:spacing w:after="80" w:line="288"/>
      </w:pPr>
      <w:r>
        <w:rPr>
          <w:rFonts w:ascii="Arial" w:cs="Arial" w:eastAsia="Arial" w:hAnsi="Arial"/>
          <w:color w:val="22303C"/>
          <w:sz w:val="21"/>
          <w:szCs w:val="21"/>
        </w:rPr>
        <w:t xml:space="preserve">Expense disputes with no policy to point to</w:t>
      </w:r>
    </w:p>
    <w:p>
      <w:pPr>
        <w:pStyle w:val="ListParagraph"/>
        <w:numPr>
          <w:ilvl w:val="0"/>
          <w:numId w:val="2"/>
        </w:numPr>
        <w:spacing w:after="80" w:line="288"/>
      </w:pPr>
      <w:r>
        <w:rPr>
          <w:rFonts w:ascii="Arial" w:cs="Arial" w:eastAsia="Arial" w:hAnsi="Arial"/>
          <w:color w:val="22303C"/>
          <w:sz w:val="21"/>
          <w:szCs w:val="21"/>
        </w:rPr>
        <w:t xml:space="preserve">Texas note: unreimbursed business expenses dragging effective pay below minimum wage</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ACCOUNTABLE PLAN PACKET</w:t>
      </w:r>
    </w:p>
    <w:p>
      <w:pPr>
        <w:spacing w:after="160" w:line="288"/>
      </w:pPr>
      <w:r>
        <w:rPr>
          <w:rFonts w:ascii="Arial" w:cs="Arial" w:eastAsia="Arial" w:hAnsi="Arial"/>
          <w:color w:val="4A5A6A"/>
          <w:sz w:val="20"/>
          <w:szCs w:val="20"/>
        </w:rPr>
        <w:t xml:space="preserve">The IRS test has three prongs: business connection, substantiation, and return of excess. Meet all three and reimbursements are tax-free; miss any and they're wages. This packet is the policy plus the forms.</w:t>
      </w:r>
    </w:p>
    <w:p>
      <w:pPr>
        <w:keepNext/>
        <w:spacing w:after="100" w:before="220"/>
      </w:pPr>
      <w:r>
        <w:rPr>
          <w:rFonts w:ascii="Arial" w:cs="Arial" w:eastAsia="Arial" w:hAnsi="Arial"/>
          <w:b/>
          <w:bCs/>
          <w:color w:val="1B3A52"/>
          <w:sz w:val="22"/>
          <w:szCs w:val="22"/>
        </w:rPr>
        <w:t xml:space="preserve">Part 1 — The Three-Prong Test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64"/>
        <w:gridCol w:w="6048"/>
        <w:gridCol w:w="1568"/>
      </w:tblGrid>
      <w:tr>
        <w:trPr>
          <w:tblHeader/>
        </w:trPr>
        <w:tc>
          <w:tcPr>
            <w:tcW w:type="dxa" w:w="246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Prong</w:t>
            </w:r>
          </w:p>
        </w:tc>
        <w:tc>
          <w:tcPr>
            <w:tcW w:type="dxa" w:w="604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Requirement</w:t>
            </w:r>
          </w:p>
        </w:tc>
        <w:tc>
          <w:tcPr>
            <w:tcW w:type="dxa" w:w="156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plan meets it?</w:t>
            </w:r>
          </w:p>
        </w:tc>
      </w:tr>
      <w:tr>
        <w:tc>
          <w:tcPr>
            <w:tcW w:type="dxa" w:w="246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Business connection</w:t>
            </w:r>
          </w:p>
        </w:tc>
        <w:tc>
          <w:tcPr>
            <w:tcW w:type="dxa" w:w="604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Expense incurred performing services as an employee, with a documented business purpose</w:t>
            </w:r>
          </w:p>
        </w:tc>
        <w:tc>
          <w:tcPr>
            <w:tcW w:type="dxa" w:w="156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46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Substantiation</w:t>
            </w:r>
          </w:p>
        </w:tc>
        <w:tc>
          <w:tcPr>
            <w:tcW w:type="dxa" w:w="604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Amount, time, place, and purpose documented within a reasonable period (60 days is the safe-harbor rhythm)</w:t>
            </w:r>
          </w:p>
        </w:tc>
        <w:tc>
          <w:tcPr>
            <w:tcW w:type="dxa" w:w="156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46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Return of excess</w:t>
            </w:r>
          </w:p>
        </w:tc>
        <w:tc>
          <w:tcPr>
            <w:tcW w:type="dxa" w:w="604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Amounts over substantiated expenses returned within a reasonable period (120-day safe harbor)</w:t>
            </w:r>
          </w:p>
        </w:tc>
        <w:tc>
          <w:tcPr>
            <w:tcW w:type="dxa" w:w="156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Category Rules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64"/>
        <w:gridCol w:w="4032"/>
        <w:gridCol w:w="3584"/>
      </w:tblGrid>
      <w:tr>
        <w:trPr>
          <w:tblHeader/>
        </w:trPr>
        <w:tc>
          <w:tcPr>
            <w:tcW w:type="dxa" w:w="246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Category</w:t>
            </w:r>
          </w:p>
        </w:tc>
        <w:tc>
          <w:tcPr>
            <w:tcW w:type="dxa" w:w="403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Reimbursement basis</w:t>
            </w:r>
          </w:p>
        </w:tc>
        <w:tc>
          <w:tcPr>
            <w:tcW w:type="dxa" w:w="358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Substantiation required</w:t>
            </w:r>
          </w:p>
        </w:tc>
      </w:tr>
      <w:tr>
        <w:tc>
          <w:tcPr>
            <w:tcW w:type="dxa" w:w="246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Mileage</w:t>
            </w:r>
          </w:p>
        </w:tc>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IRS standard rate (verify current) × business miles; commuting never counts</w:t>
            </w:r>
          </w:p>
        </w:tc>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Mileage log: date, destination, purpose, miles</w:t>
            </w:r>
          </w:p>
        </w:tc>
      </w:tr>
      <w:tr>
        <w:tc>
          <w:tcPr>
            <w:tcW w:type="dxa" w:w="246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Phone / internet</w:t>
            </w:r>
          </w:p>
        </w:tc>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Business-use portion or documented stipend tied to business need</w:t>
            </w:r>
          </w:p>
        </w:tc>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Bill + business-use basis</w:t>
            </w:r>
          </w:p>
        </w:tc>
      </w:tr>
      <w:tr>
        <w:tc>
          <w:tcPr>
            <w:tcW w:type="dxa" w:w="246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Tools / equipment</w:t>
            </w:r>
          </w:p>
        </w:tc>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Actual cost for required items</w:t>
            </w:r>
          </w:p>
        </w:tc>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Receipt + requirement basis</w:t>
            </w:r>
          </w:p>
        </w:tc>
      </w:tr>
      <w:tr>
        <w:tc>
          <w:tcPr>
            <w:tcW w:type="dxa" w:w="246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Travel</w:t>
            </w:r>
          </w:p>
        </w:tc>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Actual costs or per diem within federal rates</w:t>
            </w:r>
          </w:p>
        </w:tc>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Receipts + trip purpose; per diem still needs time/place/purpose</w:t>
            </w:r>
          </w:p>
        </w:tc>
      </w:tr>
      <w:tr>
        <w:tc>
          <w:tcPr>
            <w:tcW w:type="dxa" w:w="246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Meals</w:t>
            </w:r>
          </w:p>
        </w:tc>
        <w:tc>
          <w:tcPr>
            <w:tcW w:type="dxa" w:w="403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Actual or per diem, within policy limits</w:t>
            </w:r>
          </w:p>
        </w:tc>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Receipt + attendees + business purpose</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Policy Elements (adopt in writing)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 policy</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Element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may incur expenses and what needs pre-approval</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Substantiation deadline (e.g., 60 days from expense)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Excess advance return deadline (e.g., 120 days)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Consequence of missed deadlines: amount becomes taxable wages through payroll</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Approval chain and payment timeline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Non-reimbursable list (commuting, personal portions, unapproved upgrades)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Expense Report Form (master)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 / department / period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Date, category, amount, business purpose (per line)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Receipts attached (Y/N per line)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Advance received / net due or owed back</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 certification and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Approver and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Advance Tracking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612"/>
        <w:gridCol w:w="1411"/>
        <w:gridCol w:w="2620"/>
        <w:gridCol w:w="2016"/>
        <w:gridCol w:w="2421"/>
      </w:tblGrid>
      <w:tr>
        <w:trPr>
          <w:tblHeader/>
        </w:trPr>
        <w:tc>
          <w:tcPr>
            <w:tcW w:type="dxa" w:w="161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Advance date</w:t>
            </w:r>
          </w:p>
        </w:tc>
        <w:tc>
          <w:tcPr>
            <w:tcW w:type="dxa" w:w="141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Amount</w:t>
            </w:r>
          </w:p>
        </w:tc>
        <w:tc>
          <w:tcPr>
            <w:tcW w:type="dxa" w:w="26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Purpose</w:t>
            </w:r>
          </w:p>
        </w:tc>
        <w:tc>
          <w:tcPr>
            <w:tcW w:type="dxa" w:w="201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Substantiated by (date)</w:t>
            </w:r>
          </w:p>
        </w:tc>
        <w:tc>
          <w:tcPr>
            <w:tcW w:type="dxa" w:w="24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Excess returned (date)</w:t>
            </w:r>
          </w:p>
        </w:tc>
      </w:tr>
      <w:tr>
        <w:tc>
          <w:tcPr>
            <w:tcW w:type="dxa" w:w="16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6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6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161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4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01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4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Annual Audit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Audit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Findings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Sample of reimbursements checked for all three prongs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Flat allowances reviewed — any without substantiation moved to W-2 wages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Outstanding advances aged; overdue ones converted to wages or collected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Mileage rate updated to current IRS figure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re-communicated to all who incur expenses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Policy owner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Approved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Monthly 'car allowances' paid with no mileage logs behind them.</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Travel advances outstanding for six months with no substantiation.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Reimbursements paid from petty cash with no records at all.</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Employees covering required tools or uniforms out of pocket with no reimbursement — check the minimum wage effect.</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Nobody can produce the written plan the reimbursements supposedly follow.</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Paying flat allowances and calling them reimbursements — without substantiation they're wages.</w:t>
      </w:r>
    </w:p>
    <w:p>
      <w:pPr>
        <w:pStyle w:val="ListParagraph"/>
        <w:numPr>
          <w:ilvl w:val="0"/>
          <w:numId w:val="3"/>
        </w:numPr>
        <w:spacing w:after="90" w:line="288"/>
      </w:pPr>
      <w:r>
        <w:rPr>
          <w:rFonts w:ascii="Arial" w:cs="Arial" w:eastAsia="Arial" w:hAnsi="Arial"/>
          <w:color w:val="22303C"/>
          <w:sz w:val="21"/>
          <w:szCs w:val="21"/>
        </w:rPr>
        <w:t xml:space="preserve">Setting no deadline for receipts, then arguing about them at year-end.</w:t>
      </w:r>
    </w:p>
    <w:p>
      <w:pPr>
        <w:pStyle w:val="ListParagraph"/>
        <w:numPr>
          <w:ilvl w:val="0"/>
          <w:numId w:val="3"/>
        </w:numPr>
        <w:spacing w:after="90" w:line="288"/>
      </w:pPr>
      <w:r>
        <w:rPr>
          <w:rFonts w:ascii="Arial" w:cs="Arial" w:eastAsia="Arial" w:hAnsi="Arial"/>
          <w:color w:val="22303C"/>
          <w:sz w:val="21"/>
          <w:szCs w:val="21"/>
        </w:rPr>
        <w:t xml:space="preserve">Reimbursing commuting miles as business travel.</w:t>
      </w:r>
    </w:p>
    <w:p>
      <w:pPr>
        <w:pStyle w:val="ListParagraph"/>
        <w:numPr>
          <w:ilvl w:val="0"/>
          <w:numId w:val="3"/>
        </w:numPr>
        <w:spacing w:after="90" w:line="288"/>
      </w:pPr>
      <w:r>
        <w:rPr>
          <w:rFonts w:ascii="Arial" w:cs="Arial" w:eastAsia="Arial" w:hAnsi="Arial"/>
          <w:color w:val="22303C"/>
          <w:sz w:val="21"/>
          <w:szCs w:val="21"/>
        </w:rPr>
        <w:t xml:space="preserve">Never collecting excess advances — the 120-day safe harbor exists for a reason.</w:t>
      </w:r>
    </w:p>
    <w:p>
      <w:pPr>
        <w:pStyle w:val="ListParagraph"/>
        <w:numPr>
          <w:ilvl w:val="0"/>
          <w:numId w:val="3"/>
        </w:numPr>
        <w:spacing w:after="90" w:line="288"/>
      </w:pPr>
      <w:r>
        <w:rPr>
          <w:rFonts w:ascii="Arial" w:cs="Arial" w:eastAsia="Arial" w:hAnsi="Arial"/>
          <w:color w:val="22303C"/>
          <w:sz w:val="21"/>
          <w:szCs w:val="21"/>
        </w:rPr>
        <w:t xml:space="preserve">Treating per diem as paperwork-free — time, place, and purpose still required.</w:t>
      </w:r>
    </w:p>
    <w:p>
      <w:pPr>
        <w:pStyle w:val="ListParagraph"/>
        <w:numPr>
          <w:ilvl w:val="0"/>
          <w:numId w:val="3"/>
        </w:numPr>
        <w:spacing w:after="90" w:line="288"/>
      </w:pPr>
      <w:r>
        <w:rPr>
          <w:rFonts w:ascii="Arial" w:cs="Arial" w:eastAsia="Arial" w:hAnsi="Arial"/>
          <w:color w:val="22303C"/>
          <w:sz w:val="21"/>
          <w:szCs w:val="21"/>
        </w:rPr>
        <w:t xml:space="preserve">Running reimbursements through payroll as taxed wages 'to keep it simple,' quietly shorting employees.</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Adopt the policy in writing, put the expense form into use, and convert or clean up any allowance that can't meet the three prongs. Age all outstanding advances now, and calendar the annual audit alongside year-end payroll — before W-2s make the answers permanent.</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Accountable Plan Packet | Version 2026.1 | 210.446.8730 | thomas@faulknerhrsolutions.info | faulknerhrsolutions.info/resources/reimbursement-accountable-plan-policy-packet/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COMPENSATION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Reimbursement + Accountable Plan Policy Packet</dc:title>
  <dc:creator>Faulkner HR Solutions</dc:creator>
  <dc:description>Keep reimbursements tax-free and clean: business purpose, substantiation deadlines, category rules, and repayment of excess advances.</dc:description>
  <cp:lastModifiedBy>Un-named</cp:lastModifiedBy>
  <cp:revision>1</cp:revision>
  <dcterms:created xsi:type="dcterms:W3CDTF">2026-07-04T08:16:06.068Z</dcterms:created>
  <dcterms:modified xsi:type="dcterms:W3CDTF">2026-07-04T08:16:06.068Z</dcterms:modified>
</cp:coreProperties>
</file>

<file path=docProps/custom.xml><?xml version="1.0" encoding="utf-8"?>
<Properties xmlns="http://schemas.openxmlformats.org/officeDocument/2006/custom-properties" xmlns:vt="http://schemas.openxmlformats.org/officeDocument/2006/docPropsVTypes"/>
</file>