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COMPLIANCE CHECKLIST  |  JURISDICTION: FEDERAL  |  VERSION 2026.1</w:t>
      </w:r>
    </w:p>
    <w:p>
      <w:pPr>
        <w:spacing w:after="120"/>
      </w:pPr>
      <w:r>
        <w:rPr>
          <w:rFonts w:ascii="Arial" w:cs="Arial" w:eastAsia="Arial" w:hAnsi="Arial"/>
          <w:b/>
          <w:bCs/>
          <w:color w:val="1B3A52"/>
          <w:sz w:val="44"/>
          <w:szCs w:val="44"/>
        </w:rPr>
        <w:t xml:space="preserve">OSHA Recordkeeping Readiness Checklist</w:t>
      </w:r>
    </w:p>
    <w:p>
      <w:pPr>
        <w:spacing w:after="200" w:line="300"/>
      </w:pPr>
      <w:r>
        <w:rPr>
          <w:rFonts w:ascii="Arial" w:cs="Arial" w:eastAsia="Arial" w:hAnsi="Arial"/>
          <w:i/>
          <w:iCs/>
          <w:color w:val="4A5A6A"/>
          <w:sz w:val="22"/>
          <w:szCs w:val="22"/>
        </w:rPr>
        <w:t xml:space="preserve">Decide recordability correctly, log it on time, and be ready for the annual posting — before OSHA asks.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after any workplace injury or illness to determine OSHA recordability, complete the 300/301 entries on time, track days away and restricted duty, and stay ready for the annual 300A posting.</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After any workplace injury or illness, alongside the workers' comp response</w:t>
      </w:r>
    </w:p>
    <w:p>
      <w:pPr>
        <w:pStyle w:val="ListParagraph"/>
        <w:numPr>
          <w:ilvl w:val="0"/>
          <w:numId w:val="2"/>
        </w:numPr>
        <w:spacing w:after="80" w:line="288"/>
      </w:pPr>
      <w:r>
        <w:rPr>
          <w:rFonts w:ascii="Arial" w:cs="Arial" w:eastAsia="Arial" w:hAnsi="Arial"/>
          <w:color w:val="22303C"/>
          <w:sz w:val="21"/>
          <w:szCs w:val="21"/>
        </w:rPr>
        <w:t xml:space="preserve">When deciding whether an incident is OSHA-recordable</w:t>
      </w:r>
    </w:p>
    <w:p>
      <w:pPr>
        <w:pStyle w:val="ListParagraph"/>
        <w:numPr>
          <w:ilvl w:val="0"/>
          <w:numId w:val="2"/>
        </w:numPr>
        <w:spacing w:after="80" w:line="288"/>
      </w:pPr>
      <w:r>
        <w:rPr>
          <w:rFonts w:ascii="Arial" w:cs="Arial" w:eastAsia="Arial" w:hAnsi="Arial"/>
          <w:color w:val="22303C"/>
          <w:sz w:val="21"/>
          <w:szCs w:val="21"/>
        </w:rPr>
        <w:t xml:space="preserve">When counting days away or on restricted duty</w:t>
      </w:r>
    </w:p>
    <w:p>
      <w:pPr>
        <w:pStyle w:val="ListParagraph"/>
        <w:numPr>
          <w:ilvl w:val="0"/>
          <w:numId w:val="2"/>
        </w:numPr>
        <w:spacing w:after="80" w:line="288"/>
      </w:pPr>
      <w:r>
        <w:rPr>
          <w:rFonts w:ascii="Arial" w:cs="Arial" w:eastAsia="Arial" w:hAnsi="Arial"/>
          <w:color w:val="22303C"/>
          <w:sz w:val="21"/>
          <w:szCs w:val="21"/>
        </w:rPr>
        <w:t xml:space="preserve">Every January, before the 300A posting window (Feb 1 - Apr 30)</w:t>
      </w:r>
    </w:p>
    <w:p>
      <w:pPr>
        <w:pStyle w:val="ListParagraph"/>
        <w:numPr>
          <w:ilvl w:val="0"/>
          <w:numId w:val="2"/>
        </w:numPr>
        <w:spacing w:after="80" w:line="288"/>
      </w:pPr>
      <w:r>
        <w:rPr>
          <w:rFonts w:ascii="Arial" w:cs="Arial" w:eastAsia="Arial" w:hAnsi="Arial"/>
          <w:color w:val="22303C"/>
          <w:sz w:val="21"/>
          <w:szCs w:val="21"/>
        </w:rPr>
        <w:t xml:space="preserve">Before electronic submission deadlines, if your size/industry requires them</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Unrecorded recordables discovered during an OSHA inspection</w:t>
      </w:r>
    </w:p>
    <w:p>
      <w:pPr>
        <w:pStyle w:val="ListParagraph"/>
        <w:numPr>
          <w:ilvl w:val="0"/>
          <w:numId w:val="2"/>
        </w:numPr>
        <w:spacing w:after="80" w:line="288"/>
      </w:pPr>
      <w:r>
        <w:rPr>
          <w:rFonts w:ascii="Arial" w:cs="Arial" w:eastAsia="Arial" w:hAnsi="Arial"/>
          <w:color w:val="22303C"/>
          <w:sz w:val="21"/>
          <w:szCs w:val="21"/>
        </w:rPr>
        <w:t xml:space="preserve">Confusing workers' comp compensability with OSHA recordability</w:t>
      </w:r>
    </w:p>
    <w:p>
      <w:pPr>
        <w:pStyle w:val="ListParagraph"/>
        <w:numPr>
          <w:ilvl w:val="0"/>
          <w:numId w:val="2"/>
        </w:numPr>
        <w:spacing w:after="80" w:line="288"/>
      </w:pPr>
      <w:r>
        <w:rPr>
          <w:rFonts w:ascii="Arial" w:cs="Arial" w:eastAsia="Arial" w:hAnsi="Arial"/>
          <w:color w:val="22303C"/>
          <w:sz w:val="21"/>
          <w:szCs w:val="21"/>
        </w:rPr>
        <w:t xml:space="preserve">Day counts that stop and start with the schedule instead of the calendar</w:t>
      </w:r>
    </w:p>
    <w:p>
      <w:pPr>
        <w:pStyle w:val="ListParagraph"/>
        <w:numPr>
          <w:ilvl w:val="0"/>
          <w:numId w:val="2"/>
        </w:numPr>
        <w:spacing w:after="80" w:line="288"/>
      </w:pPr>
      <w:r>
        <w:rPr>
          <w:rFonts w:ascii="Arial" w:cs="Arial" w:eastAsia="Arial" w:hAnsi="Arial"/>
          <w:color w:val="22303C"/>
          <w:sz w:val="21"/>
          <w:szCs w:val="21"/>
        </w:rPr>
        <w:t xml:space="preserve">Missed 300A posting and electronic submission deadlines</w:t>
      </w:r>
    </w:p>
    <w:p>
      <w:pPr>
        <w:pStyle w:val="ListParagraph"/>
        <w:numPr>
          <w:ilvl w:val="0"/>
          <w:numId w:val="2"/>
        </w:numPr>
        <w:spacing w:after="80" w:line="288"/>
      </w:pPr>
      <w:r>
        <w:rPr>
          <w:rFonts w:ascii="Arial" w:cs="Arial" w:eastAsia="Arial" w:hAnsi="Arial"/>
          <w:color w:val="22303C"/>
          <w:sz w:val="21"/>
          <w:szCs w:val="21"/>
        </w:rPr>
        <w:t xml:space="preserve">Citations that turn a safe workplace into a cited one over paperwork</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RECORDKEEPING READINESS CHECKLIST</w:t>
      </w:r>
    </w:p>
    <w:p>
      <w:pPr>
        <w:spacing w:after="160" w:line="288"/>
      </w:pPr>
      <w:r>
        <w:rPr>
          <w:rFonts w:ascii="Arial" w:cs="Arial" w:eastAsia="Arial" w:hAnsi="Arial"/>
          <w:color w:val="4A5A6A"/>
          <w:sz w:val="20"/>
          <w:szCs w:val="20"/>
        </w:rPr>
        <w:t xml:space="preserve">Recordability is a fixed decision tree, not a judgment call. Run every incident through the same gates, log what qualifies within 7 calendar days, and keep the counts current.</w:t>
      </w:r>
    </w:p>
    <w:p>
      <w:pPr>
        <w:keepNext/>
        <w:spacing w:after="100" w:before="220"/>
      </w:pPr>
      <w:r>
        <w:rPr>
          <w:rFonts w:ascii="Arial" w:cs="Arial" w:eastAsia="Arial" w:hAnsi="Arial"/>
          <w:b/>
          <w:bCs/>
          <w:color w:val="1B3A52"/>
          <w:sz w:val="22"/>
          <w:szCs w:val="22"/>
        </w:rPr>
        <w:t xml:space="preserve">Part 1 — Incident Facts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and job title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and time of incident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Where it happened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What happened and what object/substance was involved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Injury/illness description and body part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Treatment provided (first aid, clinic, ER, hospitalization)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Recordability Decision Gates</w:t>
      </w:r>
    </w:p>
    <w:p>
      <w:pPr>
        <w:spacing w:after="120" w:line="288"/>
      </w:pPr>
      <w:r>
        <w:rPr>
          <w:rFonts w:ascii="Arial" w:cs="Arial" w:eastAsia="Arial" w:hAnsi="Arial"/>
          <w:color w:val="4A5A6A"/>
          <w:sz w:val="20"/>
          <w:szCs w:val="20"/>
        </w:rPr>
        <w:t xml:space="preserve">Answer in order. The incident is recordable only if it passes all three gates.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032"/>
        <w:gridCol w:w="4928"/>
        <w:gridCol w:w="1120"/>
      </w:tblGrid>
      <w:tr>
        <w:trPr>
          <w:tblHeader/>
        </w:trPr>
        <w:tc>
          <w:tcPr>
            <w:tcW w:type="dxa" w:w="403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Gate</w:t>
            </w:r>
          </w:p>
        </w:tc>
        <w:tc>
          <w:tcPr>
            <w:tcW w:type="dxa" w:w="492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Test</w:t>
            </w:r>
          </w:p>
        </w:tc>
        <w:tc>
          <w:tcPr>
            <w:tcW w:type="dxa" w:w="11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Yes/No</w:t>
            </w:r>
          </w:p>
        </w:tc>
      </w:tr>
      <w:tr>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1. Work-related?</w:t>
            </w:r>
          </w:p>
        </w:tc>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Event or exposure in the work environment caused or contributed to the condition (presumption applies at work; note the exceptions)</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2. New case?</w:t>
            </w:r>
          </w:p>
        </w:tc>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New injury/illness, not a continuation of a previously recorded one</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3. Meets recording criteria?</w:t>
            </w:r>
          </w:p>
        </w:tc>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Death, days away, restricted work or transfer, medical treatment beyond first aid, loss of consciousness, or a significant diagnosis</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2a — First Aid vs. Medical Treatment</w:t>
      </w:r>
    </w:p>
    <w:p>
      <w:pPr>
        <w:spacing w:after="120" w:line="288"/>
      </w:pPr>
      <w:r>
        <w:rPr>
          <w:rFonts w:ascii="Arial" w:cs="Arial" w:eastAsia="Arial" w:hAnsi="Arial"/>
          <w:color w:val="4A5A6A"/>
          <w:sz w:val="20"/>
          <w:szCs w:val="20"/>
        </w:rPr>
        <w:t xml:space="preserve">OSHA's first-aid list is exhaustive. If the treatment appears on the list — and nothing more was done — the case is not recordable on treatment grounds.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Applied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First-aid item (non-recordable if this is all)</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Non-prescription medication at non-prescription strength</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Cleaning, flushing, or soaking wounds; bandages, butterfly closures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Hot/cold therapy; elastic wraps; temporary immobilization for transport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Tetanus immunization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Eye patches; foreign body removal by irrigation or cotton swab</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Drilling a nail to relieve pressure; drinking fluids for heat stress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Prescription meds, sutures, physical therapy, or work restrictions = MEDICAL TREATMENT (recordable)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Days Away / Restricted Duty Count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First day away or restricted (day AFTER the injury — injury day never counts)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Calendar days counted (weekends and holidays count; cap at 180)</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Restricted duty: what the employee cannot do, per provider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Count updated through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Log Entry Status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Entry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Form 301 (or equivalent) completed within 7 calendar days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Form 300 log entry made within 7 calendar days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Privacy case handling applied where required (name withheld on the log)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Severe injury reporting checked: fatality within 8 hours; inpatient hospitalization, amputation, or eye loss within 24 hours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Workers' comp claim cross-referenced (recordability decided independently)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Annual Readiness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Annual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owner</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Form 300A summary totals verified against the log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300A certified by a company executive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Posted February 1 through April 30 where employees can see 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Electronic submission (ITA) completed by March 2, if establishment size/industry requires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Records retained 5 years and updated as cases change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Partial-exemption status verified (small employer or low-hazard industry) — severe injury reporting still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Recordkeeper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Certifying executive</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incident was left off the log because the comp claim was denied — the two standards are different.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Restricted duty is happening informally with no log entry.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300A was posted but never certified by an executive.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hospitalization was not reported within 24 hours.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Employees are discouraged from reporting injuries — that is its own violation and a retaliation risk.</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log lists zero recordables in an industry where peers record several per year.</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Treating 'comp denied it' as 'not recordable' — OSHA recordability is independent of compensability.</w:t>
      </w:r>
    </w:p>
    <w:p>
      <w:pPr>
        <w:pStyle w:val="ListParagraph"/>
        <w:numPr>
          <w:ilvl w:val="0"/>
          <w:numId w:val="3"/>
        </w:numPr>
        <w:spacing w:after="90" w:line="288"/>
      </w:pPr>
      <w:r>
        <w:rPr>
          <w:rFonts w:ascii="Arial" w:cs="Arial" w:eastAsia="Arial" w:hAnsi="Arial"/>
          <w:color w:val="22303C"/>
          <w:sz w:val="21"/>
          <w:szCs w:val="21"/>
        </w:rPr>
        <w:t xml:space="preserve">Counting only scheduled workdays instead of calendar days for days away.</w:t>
      </w:r>
    </w:p>
    <w:p>
      <w:pPr>
        <w:pStyle w:val="ListParagraph"/>
        <w:numPr>
          <w:ilvl w:val="0"/>
          <w:numId w:val="3"/>
        </w:numPr>
        <w:spacing w:after="90" w:line="288"/>
      </w:pPr>
      <w:r>
        <w:rPr>
          <w:rFonts w:ascii="Arial" w:cs="Arial" w:eastAsia="Arial" w:hAnsi="Arial"/>
          <w:color w:val="22303C"/>
          <w:sz w:val="21"/>
          <w:szCs w:val="21"/>
        </w:rPr>
        <w:t xml:space="preserve">Missing that work restrictions alone make a case recordable, even with first-aid-only treatment.</w:t>
      </w:r>
    </w:p>
    <w:p>
      <w:pPr>
        <w:pStyle w:val="ListParagraph"/>
        <w:numPr>
          <w:ilvl w:val="0"/>
          <w:numId w:val="3"/>
        </w:numPr>
        <w:spacing w:after="90" w:line="288"/>
      </w:pPr>
      <w:r>
        <w:rPr>
          <w:rFonts w:ascii="Arial" w:cs="Arial" w:eastAsia="Arial" w:hAnsi="Arial"/>
          <w:color w:val="22303C"/>
          <w:sz w:val="21"/>
          <w:szCs w:val="21"/>
        </w:rPr>
        <w:t xml:space="preserve">Forgetting the injury day itself never counts as a day away.</w:t>
      </w:r>
    </w:p>
    <w:p>
      <w:pPr>
        <w:pStyle w:val="ListParagraph"/>
        <w:numPr>
          <w:ilvl w:val="0"/>
          <w:numId w:val="3"/>
        </w:numPr>
        <w:spacing w:after="90" w:line="288"/>
      </w:pPr>
      <w:r>
        <w:rPr>
          <w:rFonts w:ascii="Arial" w:cs="Arial" w:eastAsia="Arial" w:hAnsi="Arial"/>
          <w:color w:val="22303C"/>
          <w:sz w:val="21"/>
          <w:szCs w:val="21"/>
        </w:rPr>
        <w:t xml:space="preserve">Blowing the 8-hour fatality / 24-hour hospitalization reporting windows.</w:t>
      </w:r>
    </w:p>
    <w:p>
      <w:pPr>
        <w:pStyle w:val="ListParagraph"/>
        <w:numPr>
          <w:ilvl w:val="0"/>
          <w:numId w:val="3"/>
        </w:numPr>
        <w:spacing w:after="90" w:line="288"/>
      </w:pPr>
      <w:r>
        <w:rPr>
          <w:rFonts w:ascii="Arial" w:cs="Arial" w:eastAsia="Arial" w:hAnsi="Arial"/>
          <w:color w:val="22303C"/>
          <w:sz w:val="21"/>
          <w:szCs w:val="21"/>
        </w:rPr>
        <w:t xml:space="preserve">Assuming small-employer exemption removes severe injury reporting duties — it doesn't.</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File the completed checklist with the incident record, update the 300 log as the case evolves, and calendar the annual cycle: verify totals in January, post February 1, submit electronically by March 2 if required. If an inspection or complaint arrives, this checklist is the readiness proof.</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OSHA Recordkeeping Checklist | Version 2026.1 | 210.446.8730 | thomas@faulknerhrsolutions.info | faulknerhrsolutions.info/resources/osha-recordkeeping-readiness-checklist/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OSHA Recordkeeping Readiness Checklist</dc:title>
  <dc:creator>Faulkner HR Solutions</dc:creator>
  <dc:description>Decide recordability correctly, log it on time, and be ready for the annual posting — before OSHA asks.</dc:description>
  <cp:lastModifiedBy>Un-named</cp:lastModifiedBy>
  <cp:revision>1</cp:revision>
  <dcterms:created xsi:type="dcterms:W3CDTF">2026-07-04T08:16:05.535Z</dcterms:created>
  <dcterms:modified xsi:type="dcterms:W3CDTF">2026-07-04T08:16:05.535Z</dcterms:modified>
</cp:coreProperties>
</file>

<file path=docProps/custom.xml><?xml version="1.0" encoding="utf-8"?>
<Properties xmlns="http://schemas.openxmlformats.org/officeDocument/2006/custom-properties" xmlns:vt="http://schemas.openxmlformats.org/officeDocument/2006/docPropsVTypes"/>
</file>