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HIRING PACKET  |  JURISDICTION: MUNICIPAL / PUBLIC SECTOR  |  VERSION 2026.1</w:t>
      </w:r>
    </w:p>
    <w:p>
      <w:pPr>
        <w:spacing w:after="120"/>
      </w:pPr>
      <w:r>
        <w:rPr>
          <w:rFonts w:ascii="Arial" w:cs="Arial" w:eastAsia="Arial" w:hAnsi="Arial"/>
          <w:b/>
          <w:bCs/>
          <w:color w:val="1B3A52"/>
          <w:sz w:val="44"/>
          <w:szCs w:val="44"/>
        </w:rPr>
        <w:t xml:space="preserve">Municipal Hiring Panel Scoring Packet</w:t>
      </w:r>
    </w:p>
    <w:p>
      <w:pPr>
        <w:spacing w:after="200" w:line="300"/>
      </w:pPr>
      <w:r>
        <w:rPr>
          <w:rFonts w:ascii="Arial" w:cs="Arial" w:eastAsia="Arial" w:hAnsi="Arial"/>
          <w:i/>
          <w:iCs/>
          <w:color w:val="4A5A6A"/>
          <w:sz w:val="22"/>
          <w:szCs w:val="22"/>
        </w:rPr>
        <w:t xml:space="preserve">Structured criteria, rubrics, conflict disclosures, and a selection justification that survives protest, records requests, and small-town politics.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packet to run municipal hiring panels on published criteria and scored rubrics — producing a selection record that holds up when the losing candidate knows a council member.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For any posted municipal position with competitive applicants</w:t>
      </w:r>
    </w:p>
    <w:p>
      <w:pPr>
        <w:pStyle w:val="ListParagraph"/>
        <w:numPr>
          <w:ilvl w:val="0"/>
          <w:numId w:val="2"/>
        </w:numPr>
        <w:spacing w:after="80" w:line="288"/>
      </w:pPr>
      <w:r>
        <w:rPr>
          <w:rFonts w:ascii="Arial" w:cs="Arial" w:eastAsia="Arial" w:hAnsi="Arial"/>
          <w:color w:val="22303C"/>
          <w:sz w:val="21"/>
          <w:szCs w:val="21"/>
        </w:rPr>
        <w:t xml:space="preserve">When internal candidates and external candidates compete</w:t>
      </w:r>
    </w:p>
    <w:p>
      <w:pPr>
        <w:pStyle w:val="ListParagraph"/>
        <w:numPr>
          <w:ilvl w:val="0"/>
          <w:numId w:val="2"/>
        </w:numPr>
        <w:spacing w:after="80" w:line="288"/>
      </w:pPr>
      <w:r>
        <w:rPr>
          <w:rFonts w:ascii="Arial" w:cs="Arial" w:eastAsia="Arial" w:hAnsi="Arial"/>
          <w:color w:val="22303C"/>
          <w:sz w:val="21"/>
          <w:szCs w:val="21"/>
        </w:rPr>
        <w:t xml:space="preserve">When a hire is likely to be protested, requested, or politicized</w:t>
      </w:r>
    </w:p>
    <w:p>
      <w:pPr>
        <w:pStyle w:val="ListParagraph"/>
        <w:numPr>
          <w:ilvl w:val="0"/>
          <w:numId w:val="2"/>
        </w:numPr>
        <w:spacing w:after="80" w:line="288"/>
      </w:pPr>
      <w:r>
        <w:rPr>
          <w:rFonts w:ascii="Arial" w:cs="Arial" w:eastAsia="Arial" w:hAnsi="Arial"/>
          <w:color w:val="22303C"/>
          <w:sz w:val="21"/>
          <w:szCs w:val="21"/>
        </w:rPr>
        <w:t xml:space="preserve">When panelists have social ties to applicants (small towns — always)</w:t>
      </w:r>
    </w:p>
    <w:p>
      <w:pPr>
        <w:pStyle w:val="ListParagraph"/>
        <w:numPr>
          <w:ilvl w:val="0"/>
          <w:numId w:val="2"/>
        </w:numPr>
        <w:spacing w:after="80" w:line="288"/>
      </w:pPr>
      <w:r>
        <w:rPr>
          <w:rFonts w:ascii="Arial" w:cs="Arial" w:eastAsia="Arial" w:hAnsi="Arial"/>
          <w:color w:val="22303C"/>
          <w:sz w:val="21"/>
          <w:szCs w:val="21"/>
        </w:rPr>
        <w:t xml:space="preserve">Before promotional processes in police, fire, or public works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Selection decisions that can't explain themselves under PIA production</w:t>
      </w:r>
    </w:p>
    <w:p>
      <w:pPr>
        <w:pStyle w:val="ListParagraph"/>
        <w:numPr>
          <w:ilvl w:val="0"/>
          <w:numId w:val="2"/>
        </w:numPr>
        <w:spacing w:after="80" w:line="288"/>
      </w:pPr>
      <w:r>
        <w:rPr>
          <w:rFonts w:ascii="Arial" w:cs="Arial" w:eastAsia="Arial" w:hAnsi="Arial"/>
          <w:color w:val="22303C"/>
          <w:sz w:val="21"/>
          <w:szCs w:val="21"/>
        </w:rPr>
        <w:t xml:space="preserve">Panels scoring on 'fit' — the word that means nothing and alleges everything</w:t>
      </w:r>
    </w:p>
    <w:p>
      <w:pPr>
        <w:pStyle w:val="ListParagraph"/>
        <w:numPr>
          <w:ilvl w:val="0"/>
          <w:numId w:val="2"/>
        </w:numPr>
        <w:spacing w:after="80" w:line="288"/>
      </w:pPr>
      <w:r>
        <w:rPr>
          <w:rFonts w:ascii="Arial" w:cs="Arial" w:eastAsia="Arial" w:hAnsi="Arial"/>
          <w:color w:val="22303C"/>
          <w:sz w:val="21"/>
          <w:szCs w:val="21"/>
        </w:rPr>
        <w:t xml:space="preserve">Undisclosed conflicts surfacing after the offer</w:t>
      </w:r>
    </w:p>
    <w:p>
      <w:pPr>
        <w:pStyle w:val="ListParagraph"/>
        <w:numPr>
          <w:ilvl w:val="0"/>
          <w:numId w:val="2"/>
        </w:numPr>
        <w:spacing w:after="80" w:line="288"/>
      </w:pPr>
      <w:r>
        <w:rPr>
          <w:rFonts w:ascii="Arial" w:cs="Arial" w:eastAsia="Arial" w:hAnsi="Arial"/>
          <w:color w:val="22303C"/>
          <w:sz w:val="21"/>
          <w:szCs w:val="21"/>
        </w:rPr>
        <w:t xml:space="preserve">Score sheets that contradict the stated selection</w:t>
      </w:r>
    </w:p>
    <w:p>
      <w:pPr>
        <w:pStyle w:val="ListParagraph"/>
        <w:numPr>
          <w:ilvl w:val="0"/>
          <w:numId w:val="2"/>
        </w:numPr>
        <w:spacing w:after="80" w:line="288"/>
      </w:pPr>
      <w:r>
        <w:rPr>
          <w:rFonts w:ascii="Arial" w:cs="Arial" w:eastAsia="Arial" w:hAnsi="Arial"/>
          <w:color w:val="22303C"/>
          <w:sz w:val="21"/>
          <w:szCs w:val="21"/>
        </w:rPr>
        <w:t xml:space="preserve">Grievances and discrimination charges built on process holes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PANEL SCORING PACKET</w:t>
      </w:r>
    </w:p>
    <w:p>
      <w:pPr>
        <w:spacing w:after="160" w:line="288"/>
      </w:pPr>
      <w:r>
        <w:rPr>
          <w:rFonts w:ascii="Arial" w:cs="Arial" w:eastAsia="Arial" w:hAnsi="Arial"/>
          <w:color w:val="4A5A6A"/>
          <w:sz w:val="20"/>
          <w:szCs w:val="20"/>
        </w:rPr>
        <w:t xml:space="preserve">The defense of any contested hire is a boring file: criteria set before interviews, identical questions, independent scores, disclosed conflicts, and a justification that matches the math.</w:t>
      </w:r>
    </w:p>
    <w:p>
      <w:pPr>
        <w:keepNext/>
        <w:spacing w:after="100" w:before="220"/>
      </w:pPr>
      <w:r>
        <w:rPr>
          <w:rFonts w:ascii="Arial" w:cs="Arial" w:eastAsia="Arial" w:hAnsi="Arial"/>
          <w:b/>
          <w:bCs/>
          <w:color w:val="1B3A52"/>
          <w:sz w:val="22"/>
          <w:szCs w:val="22"/>
        </w:rPr>
        <w:t xml:space="preserve">Part 1 — Position and Criteria (set BEFORE reviewing applicants)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Position, posting number, closing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Selection criteria (from the job description — 5-8, weighted)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Minimum qualifications (pass/fail screen)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Preferred qualifications (scored, not silently required)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Panel members and roles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Conflict of Interest Disclosure (every panelist)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Cleared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Disclosure item</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Details / mitigation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Family or household relationship with any applicant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Close friendship, business, or financial relationship</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supervisory relationship or documented conflict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Social media / community ties that would embarrass if surfaced later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Mitigation: recusal, replacement, or documented no-conflict determination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Scoring Rubric</w:t>
      </w:r>
    </w:p>
    <w:p>
      <w:pPr>
        <w:spacing w:after="120" w:line="288"/>
      </w:pPr>
      <w:r>
        <w:rPr>
          <w:rFonts w:ascii="Arial" w:cs="Arial" w:eastAsia="Arial" w:hAnsi="Arial"/>
          <w:color w:val="4A5A6A"/>
          <w:sz w:val="20"/>
          <w:szCs w:val="20"/>
        </w:rPr>
        <w:t xml:space="preserve">Score each criterion 1-5 using the anchors. Every score of 1 or 5 requires a written note.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
        <w:gridCol w:w="9072"/>
      </w:tblGrid>
      <w:tr>
        <w:trPr>
          <w:tblHeader/>
        </w:trPr>
        <w:tc>
          <w:tcPr>
            <w:tcW w:type="dxa" w:w="10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Score</w:t>
            </w:r>
          </w:p>
        </w:tc>
        <w:tc>
          <w:tcPr>
            <w:tcW w:type="dxa" w:w="907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Anchor</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5</w:t>
            </w:r>
          </w:p>
        </w:tc>
        <w:tc>
          <w:tcPr>
            <w:tcW w:type="dxa" w:w="90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Evidence clearly exceeds the criterion — specific examples, directly relevant, at higher scale/complexity</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4</w:t>
            </w:r>
          </w:p>
        </w:tc>
        <w:tc>
          <w:tcPr>
            <w:tcW w:type="dxa" w:w="90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Fully meets with strong, specific evidence</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3</w:t>
            </w:r>
          </w:p>
        </w:tc>
        <w:tc>
          <w:tcPr>
            <w:tcW w:type="dxa" w:w="90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Meets adequately; evidence general but credible</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2</w:t>
            </w:r>
          </w:p>
        </w:tc>
        <w:tc>
          <w:tcPr>
            <w:tcW w:type="dxa" w:w="90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Partially meets; gaps in evidence or relevance</w:t>
            </w:r>
          </w:p>
        </w:tc>
      </w:tr>
      <w:tr>
        <w:tc>
          <w:tcPr>
            <w:tcW w:type="dxa" w:w="10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1</w:t>
            </w:r>
          </w:p>
        </w:tc>
        <w:tc>
          <w:tcPr>
            <w:tcW w:type="dxa" w:w="90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Does not demonstrate the criterion</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Interview Questions (identical for every candidate)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4"/>
        <w:gridCol w:w="5443"/>
        <w:gridCol w:w="2016"/>
        <w:gridCol w:w="2017"/>
      </w:tblGrid>
      <w:tr>
        <w:trPr>
          <w:tblHeader/>
        </w:trPr>
        <w:tc>
          <w:tcPr>
            <w:tcW w:type="dxa" w:w="60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t>
            </w:r>
          </w:p>
        </w:tc>
        <w:tc>
          <w:tcPr>
            <w:tcW w:type="dxa" w:w="544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 (tied to a criterion)</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Criterion</w:t>
            </w:r>
          </w:p>
        </w:tc>
        <w:tc>
          <w:tcPr>
            <w:tcW w:type="dxa" w:w="201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Legal check (no protected-class probes)</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60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544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Score Summary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17"/>
        <w:gridCol w:w="1411"/>
        <w:gridCol w:w="1411"/>
        <w:gridCol w:w="1411"/>
        <w:gridCol w:w="1814"/>
        <w:gridCol w:w="1816"/>
      </w:tblGrid>
      <w:tr>
        <w:trPr>
          <w:tblHeader/>
        </w:trPr>
        <w:tc>
          <w:tcPr>
            <w:tcW w:type="dxa" w:w="221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Candidate</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Panelist 1</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Panelist 2</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Panelist 3</w:t>
            </w:r>
          </w:p>
        </w:tc>
        <w:tc>
          <w:tcPr>
            <w:tcW w:type="dxa" w:w="181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Weighted total</w:t>
            </w:r>
          </w:p>
        </w:tc>
        <w:tc>
          <w:tcPr>
            <w:tcW w:type="dxa" w:w="18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Rank</w:t>
            </w:r>
          </w:p>
        </w:tc>
      </w:tr>
      <w:tr>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21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Panel Notes Discipline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Followed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rule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Notes record answers and evidence, never demographics, appearance, family, or health</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Scores completed independently before any panel discussion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Score changes after discussion initialed with a reason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All sheets collected by HR — nothing leaves in pockets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Assume every page is producible under the PIA, because it is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7 — Selection Justification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Selected candidate and final ranking basis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If selection differs from top score: documented, legitimate reason (reference results, license verification, etc.)</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Reference and background verification completed (dates)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Internal candidates not selected: feedback plan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Records retained (posting, applications, sheets, this packet) per schedule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Panel chair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review</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Appointing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panelist realized mid-interview they coach the applicant's kid — and said nothing.</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selection differs from the scores and the justification line is blank.</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Interview notes mention age, pregnancy, church, or accent.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internal favorite got different (easier or harder) questions.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council member has called anyone on the panel about the hire.</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'Fit' appears anywhere a criterion should be.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Building criteria after meeting the candidates.</w:t>
      </w:r>
    </w:p>
    <w:p>
      <w:pPr>
        <w:pStyle w:val="ListParagraph"/>
        <w:numPr>
          <w:ilvl w:val="0"/>
          <w:numId w:val="3"/>
        </w:numPr>
        <w:spacing w:after="90" w:line="288"/>
      </w:pPr>
      <w:r>
        <w:rPr>
          <w:rFonts w:ascii="Arial" w:cs="Arial" w:eastAsia="Arial" w:hAnsi="Arial"/>
          <w:color w:val="22303C"/>
          <w:sz w:val="21"/>
          <w:szCs w:val="21"/>
        </w:rPr>
        <w:t xml:space="preserve">Letting panelists compare impressions before scoring independently.</w:t>
      </w:r>
    </w:p>
    <w:p>
      <w:pPr>
        <w:pStyle w:val="ListParagraph"/>
        <w:numPr>
          <w:ilvl w:val="0"/>
          <w:numId w:val="3"/>
        </w:numPr>
        <w:spacing w:after="90" w:line="288"/>
      </w:pPr>
      <w:r>
        <w:rPr>
          <w:rFonts w:ascii="Arial" w:cs="Arial" w:eastAsia="Arial" w:hAnsi="Arial"/>
          <w:color w:val="22303C"/>
          <w:sz w:val="21"/>
          <w:szCs w:val="21"/>
        </w:rPr>
        <w:t xml:space="preserve">Writing notes as if no one will ever read them — in the public sector, someone will.</w:t>
      </w:r>
    </w:p>
    <w:p>
      <w:pPr>
        <w:pStyle w:val="ListParagraph"/>
        <w:numPr>
          <w:ilvl w:val="0"/>
          <w:numId w:val="3"/>
        </w:numPr>
        <w:spacing w:after="90" w:line="288"/>
      </w:pPr>
      <w:r>
        <w:rPr>
          <w:rFonts w:ascii="Arial" w:cs="Arial" w:eastAsia="Arial" w:hAnsi="Arial"/>
          <w:color w:val="22303C"/>
          <w:sz w:val="21"/>
          <w:szCs w:val="21"/>
        </w:rPr>
        <w:t xml:space="preserve">Skipping conflict disclosures because 'everyone knows everyone anyway' (that's the reason FOR them).</w:t>
      </w:r>
    </w:p>
    <w:p>
      <w:pPr>
        <w:pStyle w:val="ListParagraph"/>
        <w:numPr>
          <w:ilvl w:val="0"/>
          <w:numId w:val="3"/>
        </w:numPr>
        <w:spacing w:after="90" w:line="288"/>
      </w:pPr>
      <w:r>
        <w:rPr>
          <w:rFonts w:ascii="Arial" w:cs="Arial" w:eastAsia="Arial" w:hAnsi="Arial"/>
          <w:color w:val="22303C"/>
          <w:sz w:val="21"/>
          <w:szCs w:val="21"/>
        </w:rPr>
        <w:t xml:space="preserve">Choosing below the top score with no documented reason, converting a defensible judgment into an apparent fix.</w:t>
      </w:r>
    </w:p>
    <w:p>
      <w:pPr>
        <w:pStyle w:val="ListParagraph"/>
        <w:numPr>
          <w:ilvl w:val="0"/>
          <w:numId w:val="3"/>
        </w:numPr>
        <w:spacing w:after="90" w:line="288"/>
      </w:pPr>
      <w:r>
        <w:rPr>
          <w:rFonts w:ascii="Arial" w:cs="Arial" w:eastAsia="Arial" w:hAnsi="Arial"/>
          <w:color w:val="22303C"/>
          <w:sz w:val="21"/>
          <w:szCs w:val="21"/>
        </w:rPr>
        <w:t xml:space="preserve">Shredding score sheets after the offer — retention rules apply.</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the complete packet with HR, deliver internal-candidate feedback within a week, and retain everything on schedule. If the selection is protested, the packet is the response — which is exactly why it's completed before anyone knows the outcome.</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Public-sector HR decisions have to survive more than internal disagreement. They have to survive records requests, council questions, budget scrutiny, and public trust.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Hiring Panel Scoring Packet | Version 2026.1 | 210.446.8730 | thomas@faulknerhrsolutions.info | faulknerhrsolutions.info/resources/municipal-hiring-panel-scoring-packet/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MUNICIPAL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Hiring Panel Scoring Packet</dc:title>
  <dc:creator>Faulkner HR Solutions</dc:creator>
  <dc:description>Structured criteria, rubrics, conflict disclosures, and a selection justification that survives protest, records requests, and small-town politics.</dc:description>
  <cp:lastModifiedBy>Un-named</cp:lastModifiedBy>
  <cp:revision>1</cp:revision>
  <dcterms:created xsi:type="dcterms:W3CDTF">2026-07-04T08:16:06.828Z</dcterms:created>
  <dcterms:modified xsi:type="dcterms:W3CDTF">2026-07-04T08:16:06.828Z</dcterms:modified>
</cp:coreProperties>
</file>

<file path=docProps/custom.xml><?xml version="1.0" encoding="utf-8"?>
<Properties xmlns="http://schemas.openxmlformats.org/officeDocument/2006/custom-properties" xmlns:vt="http://schemas.openxmlformats.org/officeDocument/2006/docPropsVTypes"/>
</file>