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CHECKLIST  |  JURISDICTION: FEDERAL  |  VERSION 2026.1</w:t>
      </w:r>
    </w:p>
    <w:p>
      <w:pPr>
        <w:spacing w:after="120"/>
      </w:pPr>
      <w:r>
        <w:rPr>
          <w:rFonts w:ascii="Arial" w:cs="Arial" w:eastAsia="Arial" w:hAnsi="Arial"/>
          <w:b/>
          <w:bCs/>
          <w:color w:val="1B3A52"/>
          <w:sz w:val="44"/>
          <w:szCs w:val="44"/>
        </w:rPr>
        <w:t xml:space="preserve">Medical Documentation Storage Checklist</w:t>
      </w:r>
    </w:p>
    <w:p>
      <w:pPr>
        <w:spacing w:after="200" w:line="300"/>
      </w:pPr>
      <w:r>
        <w:rPr>
          <w:rFonts w:ascii="Arial" w:cs="Arial" w:eastAsia="Arial" w:hAnsi="Arial"/>
          <w:i/>
          <w:iCs/>
          <w:color w:val="4A5A6A"/>
          <w:sz w:val="22"/>
          <w:szCs w:val="22"/>
        </w:rPr>
        <w:t xml:space="preserve">What goes in the personnel file, the confidential medical file, the supervisor file, and the investigation file — and what never mixes.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checklist to route every medical, leave, and accommodation document to the correct file — because storing medical information in the general personnel file is a violation waiting to be discovered.</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any medical note, certification, or restriction arrives</w:t>
      </w:r>
    </w:p>
    <w:p>
      <w:pPr>
        <w:pStyle w:val="ListParagraph"/>
        <w:numPr>
          <w:ilvl w:val="0"/>
          <w:numId w:val="2"/>
        </w:numPr>
        <w:spacing w:after="80" w:line="288"/>
      </w:pPr>
      <w:r>
        <w:rPr>
          <w:rFonts w:ascii="Arial" w:cs="Arial" w:eastAsia="Arial" w:hAnsi="Arial"/>
          <w:color w:val="22303C"/>
          <w:sz w:val="21"/>
          <w:szCs w:val="21"/>
        </w:rPr>
        <w:t xml:space="preserve">When setting up or auditing personnel files</w:t>
      </w:r>
    </w:p>
    <w:p>
      <w:pPr>
        <w:pStyle w:val="ListParagraph"/>
        <w:numPr>
          <w:ilvl w:val="0"/>
          <w:numId w:val="2"/>
        </w:numPr>
        <w:spacing w:after="80" w:line="288"/>
      </w:pPr>
      <w:r>
        <w:rPr>
          <w:rFonts w:ascii="Arial" w:cs="Arial" w:eastAsia="Arial" w:hAnsi="Arial"/>
          <w:color w:val="22303C"/>
          <w:sz w:val="21"/>
          <w:szCs w:val="21"/>
        </w:rPr>
        <w:t xml:space="preserve">Before responding to a records request or file review</w:t>
      </w:r>
    </w:p>
    <w:p>
      <w:pPr>
        <w:pStyle w:val="ListParagraph"/>
        <w:numPr>
          <w:ilvl w:val="0"/>
          <w:numId w:val="2"/>
        </w:numPr>
        <w:spacing w:after="80" w:line="288"/>
      </w:pPr>
      <w:r>
        <w:rPr>
          <w:rFonts w:ascii="Arial" w:cs="Arial" w:eastAsia="Arial" w:hAnsi="Arial"/>
          <w:color w:val="22303C"/>
          <w:sz w:val="21"/>
          <w:szCs w:val="21"/>
        </w:rPr>
        <w:t xml:space="preserve">When supervisors keep 'their own files' on employees</w:t>
      </w:r>
    </w:p>
    <w:p>
      <w:pPr>
        <w:pStyle w:val="ListParagraph"/>
        <w:numPr>
          <w:ilvl w:val="0"/>
          <w:numId w:val="2"/>
        </w:numPr>
        <w:spacing w:after="80" w:line="288"/>
      </w:pPr>
      <w:r>
        <w:rPr>
          <w:rFonts w:ascii="Arial" w:cs="Arial" w:eastAsia="Arial" w:hAnsi="Arial"/>
          <w:color w:val="22303C"/>
          <w:sz w:val="21"/>
          <w:szCs w:val="21"/>
        </w:rPr>
        <w:t xml:space="preserve">During onboarding setup and after any leave or injury event</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ADA/FMLA confidentiality violations from mixed files</w:t>
      </w:r>
    </w:p>
    <w:p>
      <w:pPr>
        <w:pStyle w:val="ListParagraph"/>
        <w:numPr>
          <w:ilvl w:val="0"/>
          <w:numId w:val="2"/>
        </w:numPr>
        <w:spacing w:after="80" w:line="288"/>
      </w:pPr>
      <w:r>
        <w:rPr>
          <w:rFonts w:ascii="Arial" w:cs="Arial" w:eastAsia="Arial" w:hAnsi="Arial"/>
          <w:color w:val="22303C"/>
          <w:sz w:val="21"/>
          <w:szCs w:val="21"/>
        </w:rPr>
        <w:t xml:space="preserve">Medical details visible to supervisors making promotion and discipline calls</w:t>
      </w:r>
    </w:p>
    <w:p>
      <w:pPr>
        <w:pStyle w:val="ListParagraph"/>
        <w:numPr>
          <w:ilvl w:val="0"/>
          <w:numId w:val="2"/>
        </w:numPr>
        <w:spacing w:after="80" w:line="288"/>
      </w:pPr>
      <w:r>
        <w:rPr>
          <w:rFonts w:ascii="Arial" w:cs="Arial" w:eastAsia="Arial" w:hAnsi="Arial"/>
          <w:color w:val="22303C"/>
          <w:sz w:val="21"/>
          <w:szCs w:val="21"/>
        </w:rPr>
        <w:t xml:space="preserve">GINA exposure from family medical history sitting in personnel files</w:t>
      </w:r>
    </w:p>
    <w:p>
      <w:pPr>
        <w:pStyle w:val="ListParagraph"/>
        <w:numPr>
          <w:ilvl w:val="0"/>
          <w:numId w:val="2"/>
        </w:numPr>
        <w:spacing w:after="80" w:line="288"/>
      </w:pPr>
      <w:r>
        <w:rPr>
          <w:rFonts w:ascii="Arial" w:cs="Arial" w:eastAsia="Arial" w:hAnsi="Arial"/>
          <w:color w:val="22303C"/>
          <w:sz w:val="21"/>
          <w:szCs w:val="21"/>
        </w:rPr>
        <w:t xml:space="preserve">Records requests that expose the whole mess at once</w:t>
      </w:r>
    </w:p>
    <w:p>
      <w:pPr>
        <w:pStyle w:val="ListParagraph"/>
        <w:numPr>
          <w:ilvl w:val="0"/>
          <w:numId w:val="2"/>
        </w:numPr>
        <w:spacing w:after="80" w:line="288"/>
      </w:pPr>
      <w:r>
        <w:rPr>
          <w:rFonts w:ascii="Arial" w:cs="Arial" w:eastAsia="Arial" w:hAnsi="Arial"/>
          <w:color w:val="22303C"/>
          <w:sz w:val="21"/>
          <w:szCs w:val="21"/>
        </w:rPr>
        <w:t xml:space="preserve">Retention failures that delete records still legally required</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FILE ROUTING SYSTEM</w:t>
      </w:r>
    </w:p>
    <w:p>
      <w:pPr>
        <w:spacing w:after="160" w:line="288"/>
      </w:pPr>
      <w:r>
        <w:rPr>
          <w:rFonts w:ascii="Arial" w:cs="Arial" w:eastAsia="Arial" w:hAnsi="Arial"/>
          <w:color w:val="4A5A6A"/>
          <w:sz w:val="20"/>
          <w:szCs w:val="20"/>
        </w:rPr>
        <w:t xml:space="preserve">The rule is simple: medical information lives in a separate, confidential medical file with restricted access. Everything below implements that rule.</w:t>
      </w:r>
    </w:p>
    <w:p>
      <w:pPr>
        <w:keepNext/>
        <w:spacing w:after="100" w:before="220"/>
      </w:pPr>
      <w:r>
        <w:rPr>
          <w:rFonts w:ascii="Arial" w:cs="Arial" w:eastAsia="Arial" w:hAnsi="Arial"/>
          <w:b/>
          <w:bCs/>
          <w:color w:val="1B3A52"/>
          <w:sz w:val="22"/>
          <w:szCs w:val="22"/>
        </w:rPr>
        <w:t xml:space="preserve">File 1 — General Personnel File (supervisors may see)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Routed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Belongs here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Application, resume, offer letter, job description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Handbook and policy acknowledgments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Performance reviews, discipline, recognition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Compensation and status change records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Training records (non-medical)</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Leave REQUEST dates and return dates — without medical detail</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File 2 — Confidential Medical File (restricted access)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Routed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Belongs here — never in File 1</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FMLA certifications and medical documentation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ADA/PWFA accommodation medical information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Doctor's notes, restrictions, fitness-for-duty certifications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Workers' comp medical records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Drug and alcohol test results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Health insurance enrollment with medical detail; disability claims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Any document naming a diagnosis, treatment, or family medical history (GINA)</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File 3 — Supervisor Working File (tightly limited)</w:t>
      </w:r>
    </w:p>
    <w:p>
      <w:pPr>
        <w:spacing w:after="120" w:line="288"/>
      </w:pPr>
      <w:r>
        <w:rPr>
          <w:rFonts w:ascii="Arial" w:cs="Arial" w:eastAsia="Arial" w:hAnsi="Arial"/>
          <w:color w:val="4A5A6A"/>
          <w:sz w:val="20"/>
          <w:szCs w:val="20"/>
        </w:rPr>
        <w:t xml:space="preserve">Supervisors may keep only operational notes — and must know the limits.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Confirmed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Supervisor file rule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Restrictions communicated as work limitations only ('no lifting over 20 lbs'), never diagnoses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medical notes, certifications, or test results retained by supervisors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Coaching notes are factual, dated, and eventually routed to the personnel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Supervisors trained: medical documents go to HR the day received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File 4 — Payroll File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Routed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Belongs here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W-4s, direct deposit, garnishments, deduction authorizations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Timecards and wage records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Benefit deduction records without medical detail</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File 5 — Investigation Files (separate from all personnel files)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Confirmed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Investigation file rule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Complaint intakes, witness statements, evidence logs, findings kept apart from personnel files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Only the outcome that affects the employee (e.g., the written warning) goes to the personnel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Access limited to those who conducted or acted on the investigation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Access and Retention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29"/>
        <w:gridCol w:w="3944"/>
        <w:gridCol w:w="3507"/>
      </w:tblGrid>
      <w:tr>
        <w:trPr>
          <w:tblHeader/>
        </w:trPr>
        <w:tc>
          <w:tcPr>
            <w:tcW w:type="dxa" w:w="262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File</w:t>
            </w:r>
          </w:p>
        </w:tc>
        <w:tc>
          <w:tcPr>
            <w:tcW w:type="dxa" w:w="394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Who may access</w:t>
            </w:r>
          </w:p>
        </w:tc>
        <w:tc>
          <w:tcPr>
            <w:tcW w:type="dxa" w:w="35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Minimum retention guide</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Personnel</w:t>
            </w:r>
          </w:p>
        </w:tc>
        <w:tc>
          <w:tcPr>
            <w:tcW w:type="dxa" w:w="394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HR; supervisor on need-to-know</w:t>
            </w:r>
          </w:p>
        </w:tc>
        <w:tc>
          <w:tcPr>
            <w:tcW w:type="dxa" w:w="35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Duration of employment + statutory periods</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Medical</w:t>
            </w:r>
          </w:p>
        </w:tc>
        <w:tc>
          <w:tcPr>
            <w:tcW w:type="dxa" w:w="394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Designated HR only; safety staff for restrictions; first aid as needed</w:t>
            </w:r>
          </w:p>
        </w:tc>
        <w:tc>
          <w:tcPr>
            <w:tcW w:type="dxa" w:w="35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ADA/FMLA: 3 years; OSHA exposure records: much longer</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Payroll</w:t>
            </w:r>
          </w:p>
        </w:tc>
        <w:tc>
          <w:tcPr>
            <w:tcW w:type="dxa" w:w="394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Payroll and HR</w:t>
            </w:r>
          </w:p>
        </w:tc>
        <w:tc>
          <w:tcPr>
            <w:tcW w:type="dxa" w:w="35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FLSA: 3 years; supporting records: 2 years</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Investigation</w:t>
            </w:r>
          </w:p>
        </w:tc>
        <w:tc>
          <w:tcPr>
            <w:tcW w:type="dxa" w:w="394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Investigator, HR lead, decision-maker</w:t>
            </w:r>
          </w:p>
        </w:tc>
        <w:tc>
          <w:tcPr>
            <w:tcW w:type="dxa" w:w="35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Through limitations periods; align with counsel</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Quarterly Audit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Audit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findings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Sample of personnel files checked for stray medical content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Medical file access list reviewed and confirmed current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'shadow files' checked and collected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Digital storage permissions match the paper rules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Departed-employee files moved to retention storage on schedule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supervisor's desk drawer contains doctor's notes.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HRIS attaches FMLA certifications to the same profile every manager can open.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personnel file about to be produced in a records request contains diagnoses.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Family medical history appears anywhere outside the medical file (GINA problem).</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Access to the 'confidential' folder includes people who left HR two years ago.</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One thick folder per employee, with everything in it.</w:t>
      </w:r>
    </w:p>
    <w:p>
      <w:pPr>
        <w:pStyle w:val="ListParagraph"/>
        <w:numPr>
          <w:ilvl w:val="0"/>
          <w:numId w:val="3"/>
        </w:numPr>
        <w:spacing w:after="90" w:line="288"/>
      </w:pPr>
      <w:r>
        <w:rPr>
          <w:rFonts w:ascii="Arial" w:cs="Arial" w:eastAsia="Arial" w:hAnsi="Arial"/>
          <w:color w:val="22303C"/>
          <w:sz w:val="21"/>
          <w:szCs w:val="21"/>
        </w:rPr>
        <w:t xml:space="preserve">Telling supervisors the diagnosis when they only need the restriction.</w:t>
      </w:r>
    </w:p>
    <w:p>
      <w:pPr>
        <w:pStyle w:val="ListParagraph"/>
        <w:numPr>
          <w:ilvl w:val="0"/>
          <w:numId w:val="3"/>
        </w:numPr>
        <w:spacing w:after="90" w:line="288"/>
      </w:pPr>
      <w:r>
        <w:rPr>
          <w:rFonts w:ascii="Arial" w:cs="Arial" w:eastAsia="Arial" w:hAnsi="Arial"/>
          <w:color w:val="22303C"/>
          <w:sz w:val="21"/>
          <w:szCs w:val="21"/>
        </w:rPr>
        <w:t xml:space="preserve">Storing drug test results in personnel files.</w:t>
      </w:r>
    </w:p>
    <w:p>
      <w:pPr>
        <w:pStyle w:val="ListParagraph"/>
        <w:numPr>
          <w:ilvl w:val="0"/>
          <w:numId w:val="3"/>
        </w:numPr>
        <w:spacing w:after="90" w:line="288"/>
      </w:pPr>
      <w:r>
        <w:rPr>
          <w:rFonts w:ascii="Arial" w:cs="Arial" w:eastAsia="Arial" w:hAnsi="Arial"/>
          <w:color w:val="22303C"/>
          <w:sz w:val="21"/>
          <w:szCs w:val="21"/>
        </w:rPr>
        <w:t xml:space="preserve">Digital systems that mirror none of the paper access rules.</w:t>
      </w:r>
    </w:p>
    <w:p>
      <w:pPr>
        <w:pStyle w:val="ListParagraph"/>
        <w:numPr>
          <w:ilvl w:val="0"/>
          <w:numId w:val="3"/>
        </w:numPr>
        <w:spacing w:after="90" w:line="288"/>
      </w:pPr>
      <w:r>
        <w:rPr>
          <w:rFonts w:ascii="Arial" w:cs="Arial" w:eastAsia="Arial" w:hAnsi="Arial"/>
          <w:color w:val="22303C"/>
          <w:sz w:val="21"/>
          <w:szCs w:val="21"/>
        </w:rPr>
        <w:t xml:space="preserve">Purging files on a schedule that ignores pending claims or OSHA retention rules.</w:t>
      </w:r>
    </w:p>
    <w:p>
      <w:pPr>
        <w:pStyle w:val="ListParagraph"/>
        <w:numPr>
          <w:ilvl w:val="0"/>
          <w:numId w:val="3"/>
        </w:numPr>
        <w:spacing w:after="90" w:line="288"/>
      </w:pPr>
      <w:r>
        <w:rPr>
          <w:rFonts w:ascii="Arial" w:cs="Arial" w:eastAsia="Arial" w:hAnsi="Arial"/>
          <w:color w:val="22303C"/>
          <w:sz w:val="21"/>
          <w:szCs w:val="21"/>
        </w:rPr>
        <w:t xml:space="preserve">Auditing once — file discipline decays without a recurring check.</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Stand up the five-file structure, migrate stray medical content to the confidential file, brief supervisors on the routing rules, and calendar the quarterly audit. If files have been mixed for years, prioritize the files of employees with active leave, accommodation, or injury matters first.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Medical Documentation Storage | Version 2026.1 | 210.446.8730 | thomas@faulknerhrsolutions.info | faulknerhrsolutions.info/resources/medical-documentation-storage-checklist/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Documentation Storage Checklist</dc:title>
  <dc:creator>Faulkner HR Solutions</dc:creator>
  <dc:description>What goes in the personnel file, the confidential medical file, the supervisor file, and the investigation file — and what never mixes.</dc:description>
  <cp:lastModifiedBy>Un-named</cp:lastModifiedBy>
  <cp:revision>1</cp:revision>
  <dcterms:created xsi:type="dcterms:W3CDTF">2026-07-04T08:16:05.411Z</dcterms:created>
  <dcterms:modified xsi:type="dcterms:W3CDTF">2026-07-04T08:16:05.411Z</dcterms:modified>
</cp:coreProperties>
</file>

<file path=docProps/custom.xml><?xml version="1.0" encoding="utf-8"?>
<Properties xmlns="http://schemas.openxmlformats.org/officeDocument/2006/custom-properties" xmlns:vt="http://schemas.openxmlformats.org/officeDocument/2006/docPropsVTypes"/>
</file>