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INVESTIGATION TOOLKIT  |  JURISDICTION: GENERAL EMPLOYER  |  VERSION 2026.1</w:t>
      </w:r>
    </w:p>
    <w:p>
      <w:pPr>
        <w:spacing w:after="120"/>
      </w:pPr>
      <w:r>
        <w:rPr>
          <w:rFonts w:ascii="Arial" w:cs="Arial" w:eastAsia="Arial" w:hAnsi="Arial"/>
          <w:b/>
          <w:bCs/>
          <w:color w:val="1B3A52"/>
          <w:sz w:val="44"/>
          <w:szCs w:val="44"/>
        </w:rPr>
        <w:t xml:space="preserve">Investigation Evidence Log</w:t>
      </w:r>
    </w:p>
    <w:p>
      <w:pPr>
        <w:spacing w:after="200" w:line="300"/>
      </w:pPr>
      <w:r>
        <w:rPr>
          <w:rFonts w:ascii="Arial" w:cs="Arial" w:eastAsia="Arial" w:hAnsi="Arial"/>
          <w:i/>
          <w:iCs/>
          <w:color w:val="4A5A6A"/>
          <w:sz w:val="22"/>
          <w:szCs w:val="22"/>
        </w:rPr>
        <w:t xml:space="preserve">One numbered index for every document, message, recording, and record an investigation touches — with chain of custody.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log to give every piece of investigation evidence an ID, a source, a date, and a storage location — so the file can be reconstructed, defended, and produced months or years later.</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The day an investigation is opened</w:t>
      </w:r>
    </w:p>
    <w:p>
      <w:pPr>
        <w:pStyle w:val="ListParagraph"/>
        <w:numPr>
          <w:ilvl w:val="0"/>
          <w:numId w:val="2"/>
        </w:numPr>
        <w:spacing w:after="80" w:line="288"/>
      </w:pPr>
      <w:r>
        <w:rPr>
          <w:rFonts w:ascii="Arial" w:cs="Arial" w:eastAsia="Arial" w:hAnsi="Arial"/>
          <w:color w:val="22303C"/>
          <w:sz w:val="21"/>
          <w:szCs w:val="21"/>
        </w:rPr>
        <w:t xml:space="preserve">Whenever any document, message, or recording is collected</w:t>
      </w:r>
    </w:p>
    <w:p>
      <w:pPr>
        <w:pStyle w:val="ListParagraph"/>
        <w:numPr>
          <w:ilvl w:val="0"/>
          <w:numId w:val="2"/>
        </w:numPr>
        <w:spacing w:after="80" w:line="288"/>
      </w:pPr>
      <w:r>
        <w:rPr>
          <w:rFonts w:ascii="Arial" w:cs="Arial" w:eastAsia="Arial" w:hAnsi="Arial"/>
          <w:color w:val="22303C"/>
          <w:sz w:val="21"/>
          <w:szCs w:val="21"/>
        </w:rPr>
        <w:t xml:space="preserve">When evidence changes hands between HR, counsel, or leadership</w:t>
      </w:r>
    </w:p>
    <w:p>
      <w:pPr>
        <w:pStyle w:val="ListParagraph"/>
        <w:numPr>
          <w:ilvl w:val="0"/>
          <w:numId w:val="2"/>
        </w:numPr>
        <w:spacing w:after="80" w:line="288"/>
      </w:pPr>
      <w:r>
        <w:rPr>
          <w:rFonts w:ascii="Arial" w:cs="Arial" w:eastAsia="Arial" w:hAnsi="Arial"/>
          <w:color w:val="22303C"/>
          <w:sz w:val="21"/>
          <w:szCs w:val="21"/>
        </w:rPr>
        <w:t xml:space="preserve">Before writing findings that cite any document</w:t>
      </w:r>
    </w:p>
    <w:p>
      <w:pPr>
        <w:pStyle w:val="ListParagraph"/>
        <w:numPr>
          <w:ilvl w:val="0"/>
          <w:numId w:val="2"/>
        </w:numPr>
        <w:spacing w:after="80" w:line="288"/>
      </w:pPr>
      <w:r>
        <w:rPr>
          <w:rFonts w:ascii="Arial" w:cs="Arial" w:eastAsia="Arial" w:hAnsi="Arial"/>
          <w:color w:val="22303C"/>
          <w:sz w:val="21"/>
          <w:szCs w:val="21"/>
        </w:rPr>
        <w:t xml:space="preserve">When preparing a file for an agency, auditor, or attorney</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Evidence referenced in findings that no one can locate later</w:t>
      </w:r>
    </w:p>
    <w:p>
      <w:pPr>
        <w:pStyle w:val="ListParagraph"/>
        <w:numPr>
          <w:ilvl w:val="0"/>
          <w:numId w:val="2"/>
        </w:numPr>
        <w:spacing w:after="80" w:line="288"/>
      </w:pPr>
      <w:r>
        <w:rPr>
          <w:rFonts w:ascii="Arial" w:cs="Arial" w:eastAsia="Arial" w:hAnsi="Arial"/>
          <w:color w:val="22303C"/>
          <w:sz w:val="21"/>
          <w:szCs w:val="21"/>
        </w:rPr>
        <w:t xml:space="preserve">Video and messages lost to routine retention deletion</w:t>
      </w:r>
    </w:p>
    <w:p>
      <w:pPr>
        <w:pStyle w:val="ListParagraph"/>
        <w:numPr>
          <w:ilvl w:val="0"/>
          <w:numId w:val="2"/>
        </w:numPr>
        <w:spacing w:after="80" w:line="288"/>
      </w:pPr>
      <w:r>
        <w:rPr>
          <w:rFonts w:ascii="Arial" w:cs="Arial" w:eastAsia="Arial" w:hAnsi="Arial"/>
          <w:color w:val="22303C"/>
          <w:sz w:val="21"/>
          <w:szCs w:val="21"/>
        </w:rPr>
        <w:t xml:space="preserve">Chain-of-custody questions that undermine otherwise solid findings</w:t>
      </w:r>
    </w:p>
    <w:p>
      <w:pPr>
        <w:pStyle w:val="ListParagraph"/>
        <w:numPr>
          <w:ilvl w:val="0"/>
          <w:numId w:val="2"/>
        </w:numPr>
        <w:spacing w:after="80" w:line="288"/>
      </w:pPr>
      <w:r>
        <w:rPr>
          <w:rFonts w:ascii="Arial" w:cs="Arial" w:eastAsia="Arial" w:hAnsi="Arial"/>
          <w:color w:val="22303C"/>
          <w:sz w:val="21"/>
          <w:szCs w:val="21"/>
        </w:rPr>
        <w:t xml:space="preserve">Confidential medical or personal records mixed into general files</w:t>
      </w:r>
    </w:p>
    <w:p>
      <w:pPr>
        <w:pStyle w:val="ListParagraph"/>
        <w:numPr>
          <w:ilvl w:val="0"/>
          <w:numId w:val="2"/>
        </w:numPr>
        <w:spacing w:after="80" w:line="288"/>
      </w:pPr>
      <w:r>
        <w:rPr>
          <w:rFonts w:ascii="Arial" w:cs="Arial" w:eastAsia="Arial" w:hAnsi="Arial"/>
          <w:color w:val="22303C"/>
          <w:sz w:val="21"/>
          <w:szCs w:val="21"/>
        </w:rPr>
        <w:t xml:space="preserve">Reconstruction-from-memory when the matter resurfaces in litigation</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EVIDENCE LOG</w:t>
      </w:r>
    </w:p>
    <w:p>
      <w:pPr>
        <w:spacing w:after="160" w:line="288"/>
      </w:pPr>
      <w:r>
        <w:rPr>
          <w:rFonts w:ascii="Arial" w:cs="Arial" w:eastAsia="Arial" w:hAnsi="Arial"/>
          <w:color w:val="4A5A6A"/>
          <w:sz w:val="20"/>
          <w:szCs w:val="20"/>
        </w:rPr>
        <w:t xml:space="preserve">Log evidence when it is collected, not when the report is written. An item that isn't logged, dated, and stored somewhere findable may as well not exist.</w:t>
      </w:r>
    </w:p>
    <w:p>
      <w:pPr>
        <w:keepNext/>
        <w:spacing w:after="100" w:before="220"/>
      </w:pPr>
      <w:r>
        <w:rPr>
          <w:rFonts w:ascii="Arial" w:cs="Arial" w:eastAsia="Arial" w:hAnsi="Arial"/>
          <w:b/>
          <w:bCs/>
          <w:color w:val="1B3A52"/>
          <w:sz w:val="22"/>
          <w:szCs w:val="22"/>
        </w:rPr>
        <w:t xml:space="preserve">How to Use This Log</w:t>
      </w:r>
    </w:p>
    <w:p>
      <w:pPr>
        <w:pStyle w:val="ListParagraph"/>
        <w:numPr>
          <w:ilvl w:val="0"/>
          <w:numId w:val="2"/>
        </w:numPr>
        <w:spacing w:after="80" w:line="288"/>
      </w:pPr>
      <w:r>
        <w:rPr>
          <w:rFonts w:ascii="Arial" w:cs="Arial" w:eastAsia="Arial" w:hAnsi="Arial"/>
          <w:color w:val="22303C"/>
          <w:sz w:val="21"/>
          <w:szCs w:val="21"/>
        </w:rPr>
        <w:t xml:space="preserve">Assign each item a sequential ID (E-01, E-02...) the day it is received.</w:t>
      </w:r>
    </w:p>
    <w:p>
      <w:pPr>
        <w:pStyle w:val="ListParagraph"/>
        <w:numPr>
          <w:ilvl w:val="0"/>
          <w:numId w:val="2"/>
        </w:numPr>
        <w:spacing w:after="80" w:line="288"/>
      </w:pPr>
      <w:r>
        <w:rPr>
          <w:rFonts w:ascii="Arial" w:cs="Arial" w:eastAsia="Arial" w:hAnsi="Arial"/>
          <w:color w:val="22303C"/>
          <w:sz w:val="21"/>
          <w:szCs w:val="21"/>
        </w:rPr>
        <w:t xml:space="preserve">Record where the original lives and who holds it — the log points to evidence; it is not the evidence.</w:t>
      </w:r>
    </w:p>
    <w:p>
      <w:pPr>
        <w:pStyle w:val="ListParagraph"/>
        <w:numPr>
          <w:ilvl w:val="0"/>
          <w:numId w:val="2"/>
        </w:numPr>
        <w:spacing w:after="80" w:line="288"/>
      </w:pPr>
      <w:r>
        <w:rPr>
          <w:rFonts w:ascii="Arial" w:cs="Arial" w:eastAsia="Arial" w:hAnsi="Arial"/>
          <w:color w:val="22303C"/>
          <w:sz w:val="21"/>
          <w:szCs w:val="21"/>
        </w:rPr>
        <w:t xml:space="preserve">Preserve first, evaluate second: suspend auto-deletion on relevant video, email, and chat the day the investigation opens.</w:t>
      </w:r>
    </w:p>
    <w:p>
      <w:pPr>
        <w:pStyle w:val="ListParagraph"/>
        <w:numPr>
          <w:ilvl w:val="0"/>
          <w:numId w:val="2"/>
        </w:numPr>
        <w:spacing w:after="80" w:line="288"/>
      </w:pPr>
      <w:r>
        <w:rPr>
          <w:rFonts w:ascii="Arial" w:cs="Arial" w:eastAsia="Arial" w:hAnsi="Arial"/>
          <w:color w:val="22303C"/>
          <w:sz w:val="21"/>
          <w:szCs w:val="21"/>
        </w:rPr>
        <w:t xml:space="preserve">Keep medical, and other confidential records, in restricted storage and note the restriction in the log.</w:t>
      </w:r>
    </w:p>
    <w:p>
      <w:pPr>
        <w:pStyle w:val="ListParagraph"/>
        <w:numPr>
          <w:ilvl w:val="0"/>
          <w:numId w:val="2"/>
        </w:numPr>
        <w:spacing w:after="80" w:line="288"/>
      </w:pPr>
      <w:r>
        <w:rPr>
          <w:rFonts w:ascii="Arial" w:cs="Arial" w:eastAsia="Arial" w:hAnsi="Arial"/>
          <w:color w:val="22303C"/>
          <w:sz w:val="21"/>
          <w:szCs w:val="21"/>
        </w:rPr>
        <w:t xml:space="preserve">Update the chain-of-custody table every time an item changes hands.</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Evidence Index</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775"/>
        <w:gridCol w:w="2713"/>
        <w:gridCol w:w="1744"/>
        <w:gridCol w:w="1260"/>
        <w:gridCol w:w="2035"/>
        <w:gridCol w:w="1553"/>
      </w:tblGrid>
      <w:tr>
        <w:trPr>
          <w:tblHeader/>
        </w:trPr>
        <w:tc>
          <w:tcPr>
            <w:tcW w:type="dxa" w:w="77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ID</w:t>
            </w:r>
          </w:p>
        </w:tc>
        <w:tc>
          <w:tcPr>
            <w:tcW w:type="dxa" w:w="271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Description</w:t>
            </w:r>
          </w:p>
        </w:tc>
        <w:tc>
          <w:tcPr>
            <w:tcW w:type="dxa" w:w="174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Source / provided by</w:t>
            </w:r>
          </w:p>
        </w:tc>
        <w:tc>
          <w:tcPr>
            <w:tcW w:type="dxa" w:w="12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received</w:t>
            </w:r>
          </w:p>
        </w:tc>
        <w:tc>
          <w:tcPr>
            <w:tcW w:type="dxa" w:w="203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Relevance (what it shows)</w:t>
            </w:r>
          </w:p>
        </w:tc>
        <w:tc>
          <w:tcPr>
            <w:tcW w:type="dxa" w:w="155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Storage location</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77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3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Chain of Custody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260"/>
        <w:gridCol w:w="2100"/>
        <w:gridCol w:w="2100"/>
        <w:gridCol w:w="1365"/>
        <w:gridCol w:w="3255"/>
      </w:tblGrid>
      <w:tr>
        <w:trPr>
          <w:tblHeader/>
        </w:trPr>
        <w:tc>
          <w:tcPr>
            <w:tcW w:type="dxa" w:w="12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 ID</w:t>
            </w:r>
          </w:p>
        </w:tc>
        <w:tc>
          <w:tcPr>
            <w:tcW w:type="dxa" w:w="210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Transferred from</w:t>
            </w:r>
          </w:p>
        </w:tc>
        <w:tc>
          <w:tcPr>
            <w:tcW w:type="dxa" w:w="210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Transferred to</w:t>
            </w:r>
          </w:p>
        </w:tc>
        <w:tc>
          <w:tcPr>
            <w:tcW w:type="dxa" w:w="136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c>
          <w:tcPr>
            <w:tcW w:type="dxa" w:w="325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Purpose</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2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6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Preservation Actions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Preservation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owner</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Email and chat auto-deletion suspended for involved accounts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Video footage exported before retention window expires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Access, badge, or system logs exported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personnel and payroll records copied to the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Personal devices / texts: screenshots collected with date stamps visible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Physical evidence secured and location recorded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Reviewer Notes</w:t>
      </w:r>
    </w:p>
    <w:p>
      <w:pPr>
        <w:spacing w:after="120" w:line="288"/>
      </w:pPr>
      <w:r>
        <w:rPr>
          <w:rFonts w:ascii="Arial" w:cs="Arial" w:eastAsia="Arial" w:hAnsi="Arial"/>
          <w:color w:val="4A5A6A"/>
          <w:sz w:val="20"/>
          <w:szCs w:val="20"/>
        </w:rPr>
        <w:t xml:space="preserve">Note conflicts between items, gaps that need follow-up, and which evidence supports or undercuts each allegation.</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spacing w:after="120"/>
      </w:pPr>
      <w:r>
        <w:rPr>
          <w:rFonts w:ascii="Arial" w:cs="Arial" w:eastAsia="Arial" w:hAnsi="Arial"/>
          <w:color w:val="22303C"/>
          <w:sz w:val="8"/>
          <w:szCs w:val="8"/>
        </w:rPr>
        <w:t xml:space="preserve"> </w:t>
      </w:r>
    </w:p>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Log maintained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Collecting evidence into email inboxes and desktop folders with no index.</w:t>
      </w:r>
    </w:p>
    <w:p>
      <w:pPr>
        <w:pStyle w:val="ListParagraph"/>
        <w:numPr>
          <w:ilvl w:val="0"/>
          <w:numId w:val="3"/>
        </w:numPr>
        <w:spacing w:after="90" w:line="288"/>
      </w:pPr>
      <w:r>
        <w:rPr>
          <w:rFonts w:ascii="Arial" w:cs="Arial" w:eastAsia="Arial" w:hAnsi="Arial"/>
          <w:color w:val="22303C"/>
          <w:sz w:val="21"/>
          <w:szCs w:val="21"/>
        </w:rPr>
        <w:t xml:space="preserve">Discovering in week three that the security footage from week one is gone.</w:t>
      </w:r>
    </w:p>
    <w:p>
      <w:pPr>
        <w:pStyle w:val="ListParagraph"/>
        <w:numPr>
          <w:ilvl w:val="0"/>
          <w:numId w:val="3"/>
        </w:numPr>
        <w:spacing w:after="90" w:line="288"/>
      </w:pPr>
      <w:r>
        <w:rPr>
          <w:rFonts w:ascii="Arial" w:cs="Arial" w:eastAsia="Arial" w:hAnsi="Arial"/>
          <w:color w:val="22303C"/>
          <w:sz w:val="21"/>
          <w:szCs w:val="21"/>
        </w:rPr>
        <w:t xml:space="preserve">Citing 'the text messages' in findings without recording who provided them and when.</w:t>
      </w:r>
    </w:p>
    <w:p>
      <w:pPr>
        <w:pStyle w:val="ListParagraph"/>
        <w:numPr>
          <w:ilvl w:val="0"/>
          <w:numId w:val="3"/>
        </w:numPr>
        <w:spacing w:after="90" w:line="288"/>
      </w:pPr>
      <w:r>
        <w:rPr>
          <w:rFonts w:ascii="Arial" w:cs="Arial" w:eastAsia="Arial" w:hAnsi="Arial"/>
          <w:color w:val="22303C"/>
          <w:sz w:val="21"/>
          <w:szCs w:val="21"/>
        </w:rPr>
        <w:t xml:space="preserve">Storing medical records in the general investigation file.</w:t>
      </w:r>
    </w:p>
    <w:p>
      <w:pPr>
        <w:pStyle w:val="ListParagraph"/>
        <w:numPr>
          <w:ilvl w:val="0"/>
          <w:numId w:val="3"/>
        </w:numPr>
        <w:spacing w:after="90" w:line="288"/>
      </w:pPr>
      <w:r>
        <w:rPr>
          <w:rFonts w:ascii="Arial" w:cs="Arial" w:eastAsia="Arial" w:hAnsi="Arial"/>
          <w:color w:val="22303C"/>
          <w:sz w:val="21"/>
          <w:szCs w:val="21"/>
        </w:rPr>
        <w:t xml:space="preserve">Letting evidence move between people with no record of the handoff.</w:t>
      </w:r>
    </w:p>
    <w:p>
      <w:pPr>
        <w:pStyle w:val="ListParagraph"/>
        <w:numPr>
          <w:ilvl w:val="0"/>
          <w:numId w:val="3"/>
        </w:numPr>
        <w:spacing w:after="90" w:line="288"/>
      </w:pPr>
      <w:r>
        <w:rPr>
          <w:rFonts w:ascii="Arial" w:cs="Arial" w:eastAsia="Arial" w:hAnsi="Arial"/>
          <w:color w:val="22303C"/>
          <w:sz w:val="21"/>
          <w:szCs w:val="21"/>
        </w:rPr>
        <w:t xml:space="preserve">Treating the log as report-writing paperwork instead of a day-one discipline.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Keep the log open until the matter is fully closed, then store it with the investigation report and retain both under your records retention schedule. If litigation or an agency charge is reasonably anticipated, notify counsel and confirm a litigation hold before anything is deleted.</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Investigation Evidence Log | Version 2026.1 | 210.446.8730 | thomas@faulknerhrsolutions.info | faulknerhrsolutions.info/resources/investigation-evidence-log/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Evidence Log</dc:title>
  <dc:creator>Faulkner HR Solutions</dc:creator>
  <dc:description>One numbered index for every document, message, recording, and record an investigation touches — with chain of custody.</dc:description>
  <cp:lastModifiedBy>Un-named</cp:lastModifiedBy>
  <cp:revision>1</cp:revision>
  <dcterms:created xsi:type="dcterms:W3CDTF">2026-07-04T08:16:04.905Z</dcterms:created>
  <dcterms:modified xsi:type="dcterms:W3CDTF">2026-07-04T08:16:04.905Z</dcterms:modified>
</cp:coreProperties>
</file>

<file path=docProps/custom.xml><?xml version="1.0" encoding="utf-8"?>
<Properties xmlns="http://schemas.openxmlformats.org/officeDocument/2006/custom-properties" xmlns:vt="http://schemas.openxmlformats.org/officeDocument/2006/docPropsVTypes"/>
</file>