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BC04" w14:textId="77777777" w:rsidR="00606A7C" w:rsidRPr="00606A7C" w:rsidRDefault="00606A7C" w:rsidP="00606A7C">
      <w:pPr>
        <w:spacing w:after="0"/>
        <w:rPr>
          <w:b/>
          <w:bCs/>
        </w:rPr>
      </w:pPr>
      <w:r w:rsidRPr="00606A7C">
        <w:rPr>
          <w:b/>
          <w:bCs/>
        </w:rPr>
        <w:t>Remote Work Policy</w:t>
      </w:r>
    </w:p>
    <w:p w14:paraId="41358EF8" w14:textId="6197A498" w:rsidR="007402E5" w:rsidRPr="007402E5" w:rsidRDefault="007402E5" w:rsidP="007402E5">
      <w:pPr>
        <w:spacing w:after="0"/>
        <w:rPr>
          <w:b/>
          <w:bCs/>
        </w:rPr>
      </w:pPr>
      <w:r w:rsidRPr="007402E5">
        <w:rPr>
          <w:b/>
          <w:bCs/>
        </w:rPr>
        <w:t xml:space="preserve">[Insert Company Name]  </w:t>
      </w:r>
    </w:p>
    <w:p w14:paraId="3EBAA09A" w14:textId="3DB6EB16" w:rsidR="007402E5" w:rsidRPr="007402E5" w:rsidRDefault="007402E5" w:rsidP="007402E5">
      <w:pPr>
        <w:spacing w:after="0"/>
        <w:rPr>
          <w:b/>
          <w:bCs/>
        </w:rPr>
      </w:pPr>
      <w:r w:rsidRPr="007402E5">
        <w:rPr>
          <w:b/>
          <w:bCs/>
        </w:rPr>
        <w:t xml:space="preserve">Effective Date: [Insert Date]  </w:t>
      </w:r>
    </w:p>
    <w:p w14:paraId="18B00BFD" w14:textId="2BD66358" w:rsidR="007402E5" w:rsidRPr="007402E5" w:rsidRDefault="007402E5" w:rsidP="007402E5">
      <w:pPr>
        <w:spacing w:after="0"/>
        <w:rPr>
          <w:b/>
          <w:bCs/>
        </w:rPr>
      </w:pPr>
      <w:r w:rsidRPr="007402E5">
        <w:rPr>
          <w:b/>
          <w:bCs/>
        </w:rPr>
        <w:t xml:space="preserve">Policy Number (if applicable): [Insert Number]  </w:t>
      </w:r>
    </w:p>
    <w:p w14:paraId="41D9505C" w14:textId="710D4DA2" w:rsidR="007402E5" w:rsidRPr="007402E5" w:rsidRDefault="007402E5" w:rsidP="007402E5">
      <w:pPr>
        <w:spacing w:after="0"/>
      </w:pPr>
      <w:r w:rsidRPr="007402E5">
        <w:rPr>
          <w:b/>
          <w:bCs/>
        </w:rPr>
        <w:t xml:space="preserve">Department Owner: [Insert Department or HR Contact] </w:t>
      </w:r>
      <w:r w:rsidR="00000000">
        <w:pict w14:anchorId="3F811B2C">
          <v:rect id="_x0000_i1025" style="width:0;height:1.5pt" o:hralign="center" o:hrstd="t" o:hr="t" fillcolor="#a0a0a0" stroked="f"/>
        </w:pict>
      </w:r>
    </w:p>
    <w:p w14:paraId="1747D736" w14:textId="77777777" w:rsidR="00001953" w:rsidRPr="00001953" w:rsidRDefault="00001953" w:rsidP="00001953">
      <w:pPr>
        <w:rPr>
          <w:b/>
          <w:bCs/>
        </w:rPr>
      </w:pPr>
      <w:r w:rsidRPr="00001953">
        <w:rPr>
          <w:b/>
          <w:bCs/>
        </w:rPr>
        <w:t>I. Purpose</w:t>
      </w:r>
    </w:p>
    <w:p w14:paraId="3A17E4E5" w14:textId="77777777" w:rsidR="00001953" w:rsidRPr="00001953" w:rsidRDefault="00001953" w:rsidP="00001953">
      <w:r w:rsidRPr="00001953">
        <w:t>The purpose of this Remote Work Policy is to establish clear guidelines, expectations, and compliance requirements for employees performing work duties from an approved remote location. [Company Name] supports remote work arrangements that maintain operational effectiveness, meet legal requirements, and enhance employee engagement.</w:t>
      </w:r>
    </w:p>
    <w:p w14:paraId="41B4FA76" w14:textId="77777777" w:rsidR="00001953" w:rsidRPr="00001953" w:rsidRDefault="00001953" w:rsidP="00001953">
      <w:r w:rsidRPr="00001953">
        <w:t>This policy is intended to ensure:</w:t>
      </w:r>
    </w:p>
    <w:p w14:paraId="56F94F77" w14:textId="77777777" w:rsidR="00001953" w:rsidRPr="00001953" w:rsidRDefault="00001953" w:rsidP="00001953">
      <w:pPr>
        <w:numPr>
          <w:ilvl w:val="0"/>
          <w:numId w:val="29"/>
        </w:numPr>
      </w:pPr>
      <w:r w:rsidRPr="00001953">
        <w:t>Productivity and performance standards are maintained</w:t>
      </w:r>
    </w:p>
    <w:p w14:paraId="356A76D3" w14:textId="77777777" w:rsidR="00001953" w:rsidRPr="00001953" w:rsidRDefault="00001953" w:rsidP="00001953">
      <w:pPr>
        <w:numPr>
          <w:ilvl w:val="0"/>
          <w:numId w:val="29"/>
        </w:numPr>
      </w:pPr>
      <w:r w:rsidRPr="00001953">
        <w:t>Company assets and confidential data are protected</w:t>
      </w:r>
    </w:p>
    <w:p w14:paraId="505D5A63" w14:textId="77777777" w:rsidR="00001953" w:rsidRPr="00001953" w:rsidRDefault="00001953" w:rsidP="00001953">
      <w:pPr>
        <w:numPr>
          <w:ilvl w:val="0"/>
          <w:numId w:val="29"/>
        </w:numPr>
      </w:pPr>
      <w:r w:rsidRPr="00001953">
        <w:t>Employees work in safe and compliant environments</w:t>
      </w:r>
    </w:p>
    <w:p w14:paraId="28616AB9" w14:textId="77777777" w:rsidR="00001953" w:rsidRPr="00001953" w:rsidRDefault="00001953" w:rsidP="00001953">
      <w:r w:rsidRPr="00001953">
        <w:pict w14:anchorId="125A1456">
          <v:rect id="_x0000_i1504" style="width:0;height:1.5pt" o:hralign="center" o:hrstd="t" o:hr="t" fillcolor="#a0a0a0" stroked="f"/>
        </w:pict>
      </w:r>
    </w:p>
    <w:p w14:paraId="3C47FE1E" w14:textId="77777777" w:rsidR="00001953" w:rsidRPr="00001953" w:rsidRDefault="00001953" w:rsidP="00001953">
      <w:pPr>
        <w:rPr>
          <w:b/>
          <w:bCs/>
        </w:rPr>
      </w:pPr>
      <w:r w:rsidRPr="00001953">
        <w:rPr>
          <w:b/>
          <w:bCs/>
        </w:rPr>
        <w:t>II. Scope</w:t>
      </w:r>
    </w:p>
    <w:p w14:paraId="30ECA69B" w14:textId="77777777" w:rsidR="00001953" w:rsidRPr="00001953" w:rsidRDefault="00001953" w:rsidP="00001953">
      <w:r w:rsidRPr="00001953">
        <w:t>This policy applies to all employees approved for remote work arrangements, whether:</w:t>
      </w:r>
    </w:p>
    <w:p w14:paraId="01C05CC2" w14:textId="77777777" w:rsidR="00001953" w:rsidRPr="00001953" w:rsidRDefault="00001953" w:rsidP="00001953">
      <w:pPr>
        <w:numPr>
          <w:ilvl w:val="0"/>
          <w:numId w:val="30"/>
        </w:numPr>
      </w:pPr>
      <w:r w:rsidRPr="00001953">
        <w:t>Full-time or part-time</w:t>
      </w:r>
    </w:p>
    <w:p w14:paraId="4BB326CA" w14:textId="77777777" w:rsidR="00001953" w:rsidRPr="00001953" w:rsidRDefault="00001953" w:rsidP="00001953">
      <w:pPr>
        <w:numPr>
          <w:ilvl w:val="0"/>
          <w:numId w:val="30"/>
        </w:numPr>
      </w:pPr>
      <w:r w:rsidRPr="00001953">
        <w:t>Permanent or temporary</w:t>
      </w:r>
    </w:p>
    <w:p w14:paraId="32E3E296" w14:textId="77777777" w:rsidR="00001953" w:rsidRPr="00001953" w:rsidRDefault="00001953" w:rsidP="00001953">
      <w:pPr>
        <w:numPr>
          <w:ilvl w:val="0"/>
          <w:numId w:val="30"/>
        </w:numPr>
      </w:pPr>
      <w:r w:rsidRPr="00001953">
        <w:t>Hybrid (e.g., a combination of in-office and remote work)</w:t>
      </w:r>
    </w:p>
    <w:p w14:paraId="6B785EBE" w14:textId="77777777" w:rsidR="00001953" w:rsidRPr="00001953" w:rsidRDefault="00001953" w:rsidP="00001953">
      <w:r w:rsidRPr="00001953">
        <w:t>It also covers emergency remote work scenarios (e.g., public health events, natural disasters).</w:t>
      </w:r>
    </w:p>
    <w:p w14:paraId="03D79F74" w14:textId="77777777" w:rsidR="00001953" w:rsidRPr="00001953" w:rsidRDefault="00001953" w:rsidP="00001953">
      <w:r w:rsidRPr="00001953">
        <w:pict w14:anchorId="24CAF518">
          <v:rect id="_x0000_i1505" style="width:0;height:1.5pt" o:hralign="center" o:hrstd="t" o:hr="t" fillcolor="#a0a0a0" stroked="f"/>
        </w:pict>
      </w:r>
    </w:p>
    <w:p w14:paraId="020CE582" w14:textId="77777777" w:rsidR="00001953" w:rsidRPr="00001953" w:rsidRDefault="00001953" w:rsidP="00001953">
      <w:pPr>
        <w:rPr>
          <w:b/>
          <w:bCs/>
        </w:rPr>
      </w:pPr>
      <w:r w:rsidRPr="00001953">
        <w:rPr>
          <w:b/>
          <w:bCs/>
        </w:rPr>
        <w:t>III. Eligibility</w:t>
      </w:r>
    </w:p>
    <w:p w14:paraId="43CD60D4" w14:textId="77777777" w:rsidR="00001953" w:rsidRPr="00001953" w:rsidRDefault="00001953" w:rsidP="00001953">
      <w:r w:rsidRPr="00001953">
        <w:t>Remote work is not an automatic benefit. Eligibility is determined based on:</w:t>
      </w:r>
    </w:p>
    <w:p w14:paraId="39086C20" w14:textId="77777777" w:rsidR="00001953" w:rsidRPr="00001953" w:rsidRDefault="00001953" w:rsidP="00001953">
      <w:pPr>
        <w:numPr>
          <w:ilvl w:val="0"/>
          <w:numId w:val="31"/>
        </w:numPr>
      </w:pPr>
      <w:r w:rsidRPr="00001953">
        <w:t>Job responsibilities and operational feasibility</w:t>
      </w:r>
    </w:p>
    <w:p w14:paraId="1328E091" w14:textId="77777777" w:rsidR="00001953" w:rsidRPr="00001953" w:rsidRDefault="00001953" w:rsidP="00001953">
      <w:pPr>
        <w:numPr>
          <w:ilvl w:val="0"/>
          <w:numId w:val="31"/>
        </w:numPr>
      </w:pPr>
      <w:r w:rsidRPr="00001953">
        <w:t>Demonstrated performance and ability to work independently</w:t>
      </w:r>
    </w:p>
    <w:p w14:paraId="223BE575" w14:textId="77777777" w:rsidR="00001953" w:rsidRPr="00001953" w:rsidRDefault="00001953" w:rsidP="00001953">
      <w:pPr>
        <w:numPr>
          <w:ilvl w:val="0"/>
          <w:numId w:val="31"/>
        </w:numPr>
      </w:pPr>
      <w:r w:rsidRPr="00001953">
        <w:t>Supervisor and HR approval</w:t>
      </w:r>
    </w:p>
    <w:p w14:paraId="6EDE779E" w14:textId="77777777" w:rsidR="00001953" w:rsidRPr="00001953" w:rsidRDefault="00001953" w:rsidP="00001953">
      <w:pPr>
        <w:numPr>
          <w:ilvl w:val="0"/>
          <w:numId w:val="31"/>
        </w:numPr>
      </w:pPr>
      <w:r w:rsidRPr="00001953">
        <w:t>Compliance with legal and tax considerations related to the remote work location</w:t>
      </w:r>
    </w:p>
    <w:p w14:paraId="679FD87D" w14:textId="77777777" w:rsidR="00001953" w:rsidRPr="00001953" w:rsidRDefault="00001953" w:rsidP="00001953">
      <w:r w:rsidRPr="00001953">
        <w:rPr>
          <w:i/>
          <w:iCs/>
        </w:rPr>
        <w:t xml:space="preserve">Remote work may also be considered as a </w:t>
      </w:r>
      <w:r w:rsidRPr="00001953">
        <w:rPr>
          <w:b/>
          <w:bCs/>
          <w:i/>
          <w:iCs/>
        </w:rPr>
        <w:t>reasonable accommodation</w:t>
      </w:r>
      <w:r w:rsidRPr="00001953">
        <w:rPr>
          <w:i/>
          <w:iCs/>
        </w:rPr>
        <w:t xml:space="preserve"> under the </w:t>
      </w:r>
      <w:r w:rsidRPr="00001953">
        <w:rPr>
          <w:b/>
          <w:bCs/>
          <w:i/>
          <w:iCs/>
        </w:rPr>
        <w:t>Americans with Disabilities Act (ADA)</w:t>
      </w:r>
      <w:r w:rsidRPr="00001953">
        <w:rPr>
          <w:i/>
          <w:iCs/>
        </w:rPr>
        <w:t>. Employees seeking such accommodations should follow the company’s established interactive process through Human Resources.</w:t>
      </w:r>
    </w:p>
    <w:p w14:paraId="7A41296B" w14:textId="77777777" w:rsidR="00001953" w:rsidRPr="00001953" w:rsidRDefault="00001953" w:rsidP="00001953">
      <w:r w:rsidRPr="00001953">
        <w:lastRenderedPageBreak/>
        <w:pict w14:anchorId="192968FF">
          <v:rect id="_x0000_i1506" style="width:0;height:1.5pt" o:hralign="center" o:hrstd="t" o:hr="t" fillcolor="#a0a0a0" stroked="f"/>
        </w:pict>
      </w:r>
    </w:p>
    <w:p w14:paraId="30DEF14C" w14:textId="77777777" w:rsidR="00001953" w:rsidRPr="00001953" w:rsidRDefault="00001953" w:rsidP="00001953">
      <w:pPr>
        <w:rPr>
          <w:b/>
          <w:bCs/>
        </w:rPr>
      </w:pPr>
      <w:r w:rsidRPr="00001953">
        <w:rPr>
          <w:b/>
          <w:bCs/>
        </w:rPr>
        <w:t>IV. Approval Process</w:t>
      </w:r>
    </w:p>
    <w:p w14:paraId="73DBBB29" w14:textId="77777777" w:rsidR="00001953" w:rsidRPr="00001953" w:rsidRDefault="00001953" w:rsidP="00001953">
      <w:r w:rsidRPr="00001953">
        <w:t>To initiate remote work:</w:t>
      </w:r>
    </w:p>
    <w:p w14:paraId="4FA809D5" w14:textId="77777777" w:rsidR="00001953" w:rsidRPr="00001953" w:rsidRDefault="00001953" w:rsidP="00001953">
      <w:pPr>
        <w:numPr>
          <w:ilvl w:val="0"/>
          <w:numId w:val="32"/>
        </w:numPr>
      </w:pPr>
      <w:r w:rsidRPr="00001953">
        <w:t>Submit a formal request via the [Remote Work Request Form or platform].</w:t>
      </w:r>
    </w:p>
    <w:p w14:paraId="7C8E069E" w14:textId="77777777" w:rsidR="00001953" w:rsidRPr="00001953" w:rsidRDefault="00001953" w:rsidP="00001953">
      <w:pPr>
        <w:numPr>
          <w:ilvl w:val="0"/>
          <w:numId w:val="32"/>
        </w:numPr>
      </w:pPr>
      <w:r w:rsidRPr="00001953">
        <w:t>Obtain written approval from your manager and HR.</w:t>
      </w:r>
    </w:p>
    <w:p w14:paraId="6FA0DE38" w14:textId="77777777" w:rsidR="00001953" w:rsidRPr="00001953" w:rsidRDefault="00001953" w:rsidP="00001953">
      <w:pPr>
        <w:numPr>
          <w:ilvl w:val="0"/>
          <w:numId w:val="32"/>
        </w:numPr>
      </w:pPr>
      <w:r w:rsidRPr="00001953">
        <w:t xml:space="preserve">Sign the </w:t>
      </w:r>
      <w:r w:rsidRPr="00001953">
        <w:rPr>
          <w:b/>
          <w:bCs/>
        </w:rPr>
        <w:t>Remote Work Agreement</w:t>
      </w:r>
      <w:r w:rsidRPr="00001953">
        <w:t>, which outlines specific conditions (e.g., work location, schedule, equipment, responsibilities).</w:t>
      </w:r>
    </w:p>
    <w:p w14:paraId="097A103F" w14:textId="77777777" w:rsidR="00001953" w:rsidRPr="00001953" w:rsidRDefault="00001953" w:rsidP="00001953">
      <w:r w:rsidRPr="00001953">
        <w:t>Short-term or emergency arrangements may be granted at a supervisor’s discretion, with HR coordination.</w:t>
      </w:r>
    </w:p>
    <w:p w14:paraId="2ACDE4C7" w14:textId="77777777" w:rsidR="00001953" w:rsidRPr="00001953" w:rsidRDefault="00001953" w:rsidP="00001953">
      <w:r w:rsidRPr="00001953">
        <w:pict w14:anchorId="64ADB8DB">
          <v:rect id="_x0000_i1507" style="width:0;height:1.5pt" o:hralign="center" o:hrstd="t" o:hr="t" fillcolor="#a0a0a0" stroked="f"/>
        </w:pict>
      </w:r>
    </w:p>
    <w:p w14:paraId="37CE805C" w14:textId="77777777" w:rsidR="00001953" w:rsidRPr="00001953" w:rsidRDefault="00001953" w:rsidP="00001953">
      <w:pPr>
        <w:rPr>
          <w:b/>
          <w:bCs/>
        </w:rPr>
      </w:pPr>
      <w:r w:rsidRPr="00001953">
        <w:rPr>
          <w:b/>
          <w:bCs/>
        </w:rPr>
        <w:t>V. Work Hours and Availability</w:t>
      </w:r>
    </w:p>
    <w:p w14:paraId="081F09A4" w14:textId="77777777" w:rsidR="00001953" w:rsidRPr="00001953" w:rsidRDefault="00001953" w:rsidP="00001953">
      <w:r w:rsidRPr="00001953">
        <w:t>Remote employees are expected to:</w:t>
      </w:r>
    </w:p>
    <w:p w14:paraId="29C17F3E" w14:textId="77777777" w:rsidR="00001953" w:rsidRPr="00001953" w:rsidRDefault="00001953" w:rsidP="00001953">
      <w:pPr>
        <w:numPr>
          <w:ilvl w:val="0"/>
          <w:numId w:val="33"/>
        </w:numPr>
      </w:pPr>
      <w:r w:rsidRPr="00001953">
        <w:t>Maintain their standard work hours unless otherwise agreed upon</w:t>
      </w:r>
    </w:p>
    <w:p w14:paraId="7F3B3CDE" w14:textId="77777777" w:rsidR="00001953" w:rsidRPr="00001953" w:rsidRDefault="00001953" w:rsidP="00001953">
      <w:pPr>
        <w:numPr>
          <w:ilvl w:val="0"/>
          <w:numId w:val="33"/>
        </w:numPr>
      </w:pPr>
      <w:r w:rsidRPr="00001953">
        <w:t>Be available and responsive via phone, email, or chat during business hours</w:t>
      </w:r>
    </w:p>
    <w:p w14:paraId="1E9B1E91" w14:textId="77777777" w:rsidR="00001953" w:rsidRPr="00001953" w:rsidRDefault="00001953" w:rsidP="00001953">
      <w:pPr>
        <w:numPr>
          <w:ilvl w:val="0"/>
          <w:numId w:val="33"/>
        </w:numPr>
      </w:pPr>
      <w:r w:rsidRPr="00001953">
        <w:t>Comply with company timekeeping policies (especially if non-exempt under FLSA)</w:t>
      </w:r>
    </w:p>
    <w:p w14:paraId="3FF0555A" w14:textId="77777777" w:rsidR="00001953" w:rsidRPr="00001953" w:rsidRDefault="00001953" w:rsidP="00001953">
      <w:pPr>
        <w:numPr>
          <w:ilvl w:val="0"/>
          <w:numId w:val="33"/>
        </w:numPr>
      </w:pPr>
      <w:r w:rsidRPr="00001953">
        <w:t>Receive supervisor approval for any schedule deviations</w:t>
      </w:r>
    </w:p>
    <w:p w14:paraId="02072BC6" w14:textId="77777777" w:rsidR="00001953" w:rsidRPr="00001953" w:rsidRDefault="00001953" w:rsidP="00001953">
      <w:r w:rsidRPr="00001953">
        <w:t>Hourly (non-exempt) employees must:</w:t>
      </w:r>
    </w:p>
    <w:p w14:paraId="682708BE" w14:textId="77777777" w:rsidR="00001953" w:rsidRPr="00001953" w:rsidRDefault="00001953" w:rsidP="00001953">
      <w:pPr>
        <w:numPr>
          <w:ilvl w:val="0"/>
          <w:numId w:val="34"/>
        </w:numPr>
      </w:pPr>
      <w:r w:rsidRPr="00001953">
        <w:t>Track all time worked accurately</w:t>
      </w:r>
    </w:p>
    <w:p w14:paraId="3C875B9C" w14:textId="77777777" w:rsidR="00001953" w:rsidRPr="00001953" w:rsidRDefault="00001953" w:rsidP="00001953">
      <w:pPr>
        <w:numPr>
          <w:ilvl w:val="0"/>
          <w:numId w:val="34"/>
        </w:numPr>
      </w:pPr>
      <w:r w:rsidRPr="00001953">
        <w:t>Take required rest and meal breaks</w:t>
      </w:r>
    </w:p>
    <w:p w14:paraId="2FD24072" w14:textId="77777777" w:rsidR="00001953" w:rsidRPr="00001953" w:rsidRDefault="00001953" w:rsidP="00001953">
      <w:pPr>
        <w:numPr>
          <w:ilvl w:val="0"/>
          <w:numId w:val="34"/>
        </w:numPr>
      </w:pPr>
      <w:r w:rsidRPr="00001953">
        <w:t>Obtain prior approval for overtime</w:t>
      </w:r>
    </w:p>
    <w:p w14:paraId="2FFF27E9" w14:textId="77777777" w:rsidR="00001953" w:rsidRPr="00001953" w:rsidRDefault="00001953" w:rsidP="00001953">
      <w:r w:rsidRPr="00001953">
        <w:pict w14:anchorId="77998891">
          <v:rect id="_x0000_i1508" style="width:0;height:1.5pt" o:hralign="center" o:hrstd="t" o:hr="t" fillcolor="#a0a0a0" stroked="f"/>
        </w:pict>
      </w:r>
    </w:p>
    <w:p w14:paraId="6AAAEEF5" w14:textId="77777777" w:rsidR="00001953" w:rsidRPr="00001953" w:rsidRDefault="00001953" w:rsidP="00001953">
      <w:pPr>
        <w:rPr>
          <w:b/>
          <w:bCs/>
        </w:rPr>
      </w:pPr>
      <w:r w:rsidRPr="00001953">
        <w:rPr>
          <w:b/>
          <w:bCs/>
        </w:rPr>
        <w:t>VI. Equipment, Tools, and Technology</w:t>
      </w:r>
    </w:p>
    <w:p w14:paraId="3A9E1AA0" w14:textId="77777777" w:rsidR="00001953" w:rsidRPr="00001953" w:rsidRDefault="00001953" w:rsidP="00001953">
      <w:r w:rsidRPr="00001953">
        <w:t>[Company Name] may provide:</w:t>
      </w:r>
    </w:p>
    <w:p w14:paraId="5E703BFF" w14:textId="77777777" w:rsidR="00001953" w:rsidRPr="00001953" w:rsidRDefault="00001953" w:rsidP="00001953">
      <w:pPr>
        <w:numPr>
          <w:ilvl w:val="0"/>
          <w:numId w:val="35"/>
        </w:numPr>
      </w:pPr>
      <w:r w:rsidRPr="00001953">
        <w:t>Company-owned laptops or mobile devices</w:t>
      </w:r>
    </w:p>
    <w:p w14:paraId="12BA979B" w14:textId="77777777" w:rsidR="00001953" w:rsidRPr="00001953" w:rsidRDefault="00001953" w:rsidP="00001953">
      <w:pPr>
        <w:numPr>
          <w:ilvl w:val="0"/>
          <w:numId w:val="35"/>
        </w:numPr>
      </w:pPr>
      <w:r w:rsidRPr="00001953">
        <w:t>Access to secure software, file-sharing, and communication platforms</w:t>
      </w:r>
    </w:p>
    <w:p w14:paraId="1B56D35A" w14:textId="77777777" w:rsidR="00001953" w:rsidRPr="00001953" w:rsidRDefault="00001953" w:rsidP="00001953">
      <w:pPr>
        <w:numPr>
          <w:ilvl w:val="0"/>
          <w:numId w:val="35"/>
        </w:numPr>
      </w:pPr>
      <w:r w:rsidRPr="00001953">
        <w:t>Technical support during standard business hours</w:t>
      </w:r>
    </w:p>
    <w:p w14:paraId="6CF6E674" w14:textId="77777777" w:rsidR="00001953" w:rsidRPr="00001953" w:rsidRDefault="00001953" w:rsidP="00001953">
      <w:r w:rsidRPr="00001953">
        <w:t>Employees are responsible for:</w:t>
      </w:r>
    </w:p>
    <w:p w14:paraId="56F3EA46" w14:textId="77777777" w:rsidR="00001953" w:rsidRPr="00001953" w:rsidRDefault="00001953" w:rsidP="00001953">
      <w:pPr>
        <w:numPr>
          <w:ilvl w:val="0"/>
          <w:numId w:val="36"/>
        </w:numPr>
      </w:pPr>
      <w:r w:rsidRPr="00001953">
        <w:t>Safekeeping and proper use of company-issued devices</w:t>
      </w:r>
    </w:p>
    <w:p w14:paraId="666F5C44" w14:textId="77777777" w:rsidR="00001953" w:rsidRPr="00001953" w:rsidRDefault="00001953" w:rsidP="00001953">
      <w:pPr>
        <w:numPr>
          <w:ilvl w:val="0"/>
          <w:numId w:val="36"/>
        </w:numPr>
      </w:pPr>
      <w:r w:rsidRPr="00001953">
        <w:t>Maintaining a secure and stable internet connection</w:t>
      </w:r>
    </w:p>
    <w:p w14:paraId="59337890" w14:textId="77777777" w:rsidR="00001953" w:rsidRPr="00001953" w:rsidRDefault="00001953" w:rsidP="00001953">
      <w:pPr>
        <w:numPr>
          <w:ilvl w:val="0"/>
          <w:numId w:val="36"/>
        </w:numPr>
      </w:pPr>
      <w:r w:rsidRPr="00001953">
        <w:lastRenderedPageBreak/>
        <w:t>Reporting technical or access issues promptly</w:t>
      </w:r>
    </w:p>
    <w:p w14:paraId="26A520AE" w14:textId="77777777" w:rsidR="00001953" w:rsidRPr="00001953" w:rsidRDefault="00001953" w:rsidP="00001953">
      <w:r w:rsidRPr="00001953">
        <w:rPr>
          <w:b/>
          <w:bCs/>
        </w:rPr>
        <w:t>Equipment Return Clause:</w:t>
      </w:r>
      <w:r w:rsidRPr="00001953">
        <w:br/>
        <w:t>All company property must be returned in working condition upon termination or at the company’s request. Failure to return equipment may result in deductions as allowed by law or legal action.</w:t>
      </w:r>
    </w:p>
    <w:p w14:paraId="27E36A0F" w14:textId="77777777" w:rsidR="00001953" w:rsidRPr="00001953" w:rsidRDefault="00001953" w:rsidP="00001953">
      <w:r w:rsidRPr="00001953">
        <w:pict w14:anchorId="581908CD">
          <v:rect id="_x0000_i1509" style="width:0;height:1.5pt" o:hralign="center" o:hrstd="t" o:hr="t" fillcolor="#a0a0a0" stroked="f"/>
        </w:pict>
      </w:r>
    </w:p>
    <w:p w14:paraId="5A6899CA" w14:textId="77777777" w:rsidR="00001953" w:rsidRPr="00001953" w:rsidRDefault="00001953" w:rsidP="00001953">
      <w:pPr>
        <w:rPr>
          <w:b/>
          <w:bCs/>
        </w:rPr>
      </w:pPr>
      <w:r w:rsidRPr="00001953">
        <w:rPr>
          <w:b/>
          <w:bCs/>
        </w:rPr>
        <w:t>VII. Data Security and Confidentiality</w:t>
      </w:r>
    </w:p>
    <w:p w14:paraId="79E0BA23" w14:textId="77777777" w:rsidR="00001953" w:rsidRPr="00001953" w:rsidRDefault="00001953" w:rsidP="00001953">
      <w:r w:rsidRPr="00001953">
        <w:t>Remote workers must follow all information security policies, including:</w:t>
      </w:r>
    </w:p>
    <w:p w14:paraId="3D51D62A" w14:textId="77777777" w:rsidR="00001953" w:rsidRPr="00001953" w:rsidRDefault="00001953" w:rsidP="00001953">
      <w:pPr>
        <w:numPr>
          <w:ilvl w:val="0"/>
          <w:numId w:val="37"/>
        </w:numPr>
      </w:pPr>
      <w:r w:rsidRPr="00001953">
        <w:t>Using company-approved VPN and multi-factor authentication</w:t>
      </w:r>
    </w:p>
    <w:p w14:paraId="0791D012" w14:textId="77777777" w:rsidR="00001953" w:rsidRPr="00001953" w:rsidRDefault="00001953" w:rsidP="00001953">
      <w:pPr>
        <w:numPr>
          <w:ilvl w:val="0"/>
          <w:numId w:val="37"/>
        </w:numPr>
      </w:pPr>
      <w:r w:rsidRPr="00001953">
        <w:t>Securing devices with passwords and locking screens when away</w:t>
      </w:r>
    </w:p>
    <w:p w14:paraId="7FE7E899" w14:textId="77777777" w:rsidR="00001953" w:rsidRPr="00001953" w:rsidRDefault="00001953" w:rsidP="00001953">
      <w:pPr>
        <w:numPr>
          <w:ilvl w:val="0"/>
          <w:numId w:val="37"/>
        </w:numPr>
      </w:pPr>
      <w:r w:rsidRPr="00001953">
        <w:t>Never sharing login credentials</w:t>
      </w:r>
    </w:p>
    <w:p w14:paraId="7ED34045" w14:textId="77777777" w:rsidR="00001953" w:rsidRPr="00001953" w:rsidRDefault="00001953" w:rsidP="00001953">
      <w:pPr>
        <w:numPr>
          <w:ilvl w:val="0"/>
          <w:numId w:val="37"/>
        </w:numPr>
      </w:pPr>
      <w:r w:rsidRPr="00001953">
        <w:t>Avoiding use of public Wi-Fi or unsecured networks</w:t>
      </w:r>
    </w:p>
    <w:p w14:paraId="09559FAA" w14:textId="77777777" w:rsidR="00001953" w:rsidRPr="00001953" w:rsidRDefault="00001953" w:rsidP="00001953">
      <w:r w:rsidRPr="00001953">
        <w:rPr>
          <w:b/>
          <w:bCs/>
        </w:rPr>
        <w:t>Security Breach Notification:</w:t>
      </w:r>
      <w:r w:rsidRPr="00001953">
        <w:br/>
        <w:t xml:space="preserve">If a device is lost, stolen, or compromised — or if there is suspected unauthorized access — employees must </w:t>
      </w:r>
      <w:r w:rsidRPr="00001953">
        <w:rPr>
          <w:b/>
          <w:bCs/>
        </w:rPr>
        <w:t>report the incident immediately</w:t>
      </w:r>
      <w:r w:rsidRPr="00001953">
        <w:t xml:space="preserve"> to IT or the Security Officer.</w:t>
      </w:r>
    </w:p>
    <w:p w14:paraId="34DAF554" w14:textId="77777777" w:rsidR="00001953" w:rsidRPr="00001953" w:rsidRDefault="00001953" w:rsidP="00001953">
      <w:r w:rsidRPr="00001953">
        <w:rPr>
          <w:i/>
          <w:iCs/>
        </w:rPr>
        <w:t>Failure to protect company data or to report breaches may result in disciplinary action.</w:t>
      </w:r>
    </w:p>
    <w:p w14:paraId="4F0276AD" w14:textId="77777777" w:rsidR="00001953" w:rsidRPr="00001953" w:rsidRDefault="00001953" w:rsidP="00001953">
      <w:r w:rsidRPr="00001953">
        <w:pict w14:anchorId="5373907D">
          <v:rect id="_x0000_i1510" style="width:0;height:1.5pt" o:hralign="center" o:hrstd="t" o:hr="t" fillcolor="#a0a0a0" stroked="f"/>
        </w:pict>
      </w:r>
    </w:p>
    <w:p w14:paraId="2C8F988D" w14:textId="77777777" w:rsidR="00001953" w:rsidRPr="00001953" w:rsidRDefault="00001953" w:rsidP="00001953">
      <w:pPr>
        <w:rPr>
          <w:b/>
          <w:bCs/>
        </w:rPr>
      </w:pPr>
      <w:r w:rsidRPr="00001953">
        <w:rPr>
          <w:b/>
          <w:bCs/>
        </w:rPr>
        <w:t>VIII. Workspace and Safety</w:t>
      </w:r>
    </w:p>
    <w:p w14:paraId="1BDC1A90" w14:textId="77777777" w:rsidR="00001953" w:rsidRPr="00001953" w:rsidRDefault="00001953" w:rsidP="00001953">
      <w:r w:rsidRPr="00001953">
        <w:t>Employees must:</w:t>
      </w:r>
    </w:p>
    <w:p w14:paraId="65F3C8C6" w14:textId="77777777" w:rsidR="00001953" w:rsidRPr="00001953" w:rsidRDefault="00001953" w:rsidP="00001953">
      <w:pPr>
        <w:numPr>
          <w:ilvl w:val="0"/>
          <w:numId w:val="38"/>
        </w:numPr>
      </w:pPr>
      <w:r w:rsidRPr="00001953">
        <w:t>Maintain a safe, clean, and ergonomically sound workspace</w:t>
      </w:r>
    </w:p>
    <w:p w14:paraId="546A3230" w14:textId="77777777" w:rsidR="00001953" w:rsidRPr="00001953" w:rsidRDefault="00001953" w:rsidP="00001953">
      <w:pPr>
        <w:numPr>
          <w:ilvl w:val="0"/>
          <w:numId w:val="38"/>
        </w:numPr>
      </w:pPr>
      <w:r w:rsidRPr="00001953">
        <w:t xml:space="preserve">Certify the workspace using a </w:t>
      </w:r>
      <w:r w:rsidRPr="00001953">
        <w:rPr>
          <w:b/>
          <w:bCs/>
        </w:rPr>
        <w:t>Remote Work Self-Assessment Checklist</w:t>
      </w:r>
    </w:p>
    <w:p w14:paraId="0914489D" w14:textId="77777777" w:rsidR="00001953" w:rsidRPr="00001953" w:rsidRDefault="00001953" w:rsidP="00001953">
      <w:pPr>
        <w:numPr>
          <w:ilvl w:val="0"/>
          <w:numId w:val="38"/>
        </w:numPr>
      </w:pPr>
      <w:r w:rsidRPr="00001953">
        <w:t>Follow applicable safety practices, including those for equipment setup</w:t>
      </w:r>
    </w:p>
    <w:p w14:paraId="6A325519" w14:textId="77777777" w:rsidR="00001953" w:rsidRPr="00001953" w:rsidRDefault="00001953" w:rsidP="00001953">
      <w:r w:rsidRPr="00001953">
        <w:t>[Company Name] may:</w:t>
      </w:r>
    </w:p>
    <w:p w14:paraId="27F7846A" w14:textId="77777777" w:rsidR="00001953" w:rsidRPr="00001953" w:rsidRDefault="00001953" w:rsidP="00001953">
      <w:pPr>
        <w:numPr>
          <w:ilvl w:val="0"/>
          <w:numId w:val="39"/>
        </w:numPr>
      </w:pPr>
      <w:r w:rsidRPr="00001953">
        <w:t>Offer virtual ergonomic consultations</w:t>
      </w:r>
    </w:p>
    <w:p w14:paraId="5D9F924D" w14:textId="77777777" w:rsidR="00001953" w:rsidRPr="00001953" w:rsidRDefault="00001953" w:rsidP="00001953">
      <w:pPr>
        <w:numPr>
          <w:ilvl w:val="0"/>
          <w:numId w:val="39"/>
        </w:numPr>
      </w:pPr>
      <w:r w:rsidRPr="00001953">
        <w:t>Require photo/video walkthroughs of the home office setup</w:t>
      </w:r>
    </w:p>
    <w:p w14:paraId="4DBC6BDD" w14:textId="77777777" w:rsidR="00001953" w:rsidRPr="00001953" w:rsidRDefault="00001953" w:rsidP="00001953">
      <w:r w:rsidRPr="00001953">
        <w:rPr>
          <w:b/>
          <w:bCs/>
        </w:rPr>
        <w:t>Injury Reporting:</w:t>
      </w:r>
      <w:r w:rsidRPr="00001953">
        <w:br/>
        <w:t>Work-related injuries occurring during approved working hours must be reported immediately. Workers’ compensation may apply if the injury is job-related and occurred within the designated workspace.</w:t>
      </w:r>
    </w:p>
    <w:p w14:paraId="5082D999" w14:textId="77777777" w:rsidR="00001953" w:rsidRPr="00001953" w:rsidRDefault="00001953" w:rsidP="00001953">
      <w:r w:rsidRPr="00001953">
        <w:pict w14:anchorId="137AFA75">
          <v:rect id="_x0000_i1511" style="width:0;height:1.5pt" o:hralign="center" o:hrstd="t" o:hr="t" fillcolor="#a0a0a0" stroked="f"/>
        </w:pict>
      </w:r>
    </w:p>
    <w:p w14:paraId="46E29407" w14:textId="77777777" w:rsidR="00001953" w:rsidRPr="00001953" w:rsidRDefault="00001953" w:rsidP="00001953">
      <w:pPr>
        <w:rPr>
          <w:b/>
          <w:bCs/>
        </w:rPr>
      </w:pPr>
      <w:r w:rsidRPr="00001953">
        <w:rPr>
          <w:b/>
          <w:bCs/>
        </w:rPr>
        <w:t>IX. Remote Work Location Requirements</w:t>
      </w:r>
    </w:p>
    <w:p w14:paraId="7D55BB63" w14:textId="77777777" w:rsidR="00001953" w:rsidRPr="00001953" w:rsidRDefault="00001953" w:rsidP="00001953">
      <w:r w:rsidRPr="00001953">
        <w:t>Remote work must occur at the approved address listed in the employee’s Remote Work Agreement. Employees may not:</w:t>
      </w:r>
    </w:p>
    <w:p w14:paraId="5D02C5EA" w14:textId="77777777" w:rsidR="00001953" w:rsidRPr="00001953" w:rsidRDefault="00001953" w:rsidP="00001953">
      <w:pPr>
        <w:numPr>
          <w:ilvl w:val="0"/>
          <w:numId w:val="40"/>
        </w:numPr>
      </w:pPr>
      <w:r w:rsidRPr="00001953">
        <w:lastRenderedPageBreak/>
        <w:t xml:space="preserve">Work from </w:t>
      </w:r>
      <w:r w:rsidRPr="00001953">
        <w:rPr>
          <w:b/>
          <w:bCs/>
        </w:rPr>
        <w:t>public or unsecure spaces</w:t>
      </w:r>
      <w:r w:rsidRPr="00001953">
        <w:t xml:space="preserve"> (e.g., cafes, hotels, airports) without express written approval</w:t>
      </w:r>
    </w:p>
    <w:p w14:paraId="4E6F9313" w14:textId="77777777" w:rsidR="00001953" w:rsidRPr="00001953" w:rsidRDefault="00001953" w:rsidP="00001953">
      <w:pPr>
        <w:numPr>
          <w:ilvl w:val="0"/>
          <w:numId w:val="40"/>
        </w:numPr>
      </w:pPr>
      <w:r w:rsidRPr="00001953">
        <w:t xml:space="preserve">Work </w:t>
      </w:r>
      <w:r w:rsidRPr="00001953">
        <w:rPr>
          <w:b/>
          <w:bCs/>
        </w:rPr>
        <w:t>outside the United States</w:t>
      </w:r>
      <w:r w:rsidRPr="00001953">
        <w:t xml:space="preserve"> without prior authorization</w:t>
      </w:r>
    </w:p>
    <w:p w14:paraId="296A1D6A" w14:textId="77777777" w:rsidR="00001953" w:rsidRPr="00001953" w:rsidRDefault="00001953" w:rsidP="00001953">
      <w:pPr>
        <w:numPr>
          <w:ilvl w:val="0"/>
          <w:numId w:val="40"/>
        </w:numPr>
      </w:pPr>
      <w:r w:rsidRPr="00001953">
        <w:t>Change their remote work address without notifying HR</w:t>
      </w:r>
    </w:p>
    <w:p w14:paraId="66F7395B" w14:textId="77777777" w:rsidR="00001953" w:rsidRPr="00001953" w:rsidRDefault="00001953" w:rsidP="00001953">
      <w:r w:rsidRPr="00001953">
        <w:pict w14:anchorId="6FE71552">
          <v:rect id="_x0000_i1512" style="width:0;height:1.5pt" o:hralign="center" o:hrstd="t" o:hr="t" fillcolor="#a0a0a0" stroked="f"/>
        </w:pict>
      </w:r>
    </w:p>
    <w:p w14:paraId="35604DB2" w14:textId="77777777" w:rsidR="00001953" w:rsidRPr="00001953" w:rsidRDefault="00001953" w:rsidP="00001953">
      <w:pPr>
        <w:rPr>
          <w:b/>
          <w:bCs/>
        </w:rPr>
      </w:pPr>
      <w:r w:rsidRPr="00001953">
        <w:rPr>
          <w:b/>
          <w:bCs/>
        </w:rPr>
        <w:t>X. Communication and Collaboration</w:t>
      </w:r>
    </w:p>
    <w:p w14:paraId="4A91863F" w14:textId="77777777" w:rsidR="00001953" w:rsidRPr="00001953" w:rsidRDefault="00001953" w:rsidP="00001953">
      <w:r w:rsidRPr="00001953">
        <w:t>Remote employees must:</w:t>
      </w:r>
    </w:p>
    <w:p w14:paraId="4BD7FDE5" w14:textId="77777777" w:rsidR="00001953" w:rsidRPr="00001953" w:rsidRDefault="00001953" w:rsidP="00001953">
      <w:pPr>
        <w:numPr>
          <w:ilvl w:val="0"/>
          <w:numId w:val="41"/>
        </w:numPr>
      </w:pPr>
      <w:r w:rsidRPr="00001953">
        <w:t>Attend team and company meetings (virtual or in-person, as required)</w:t>
      </w:r>
    </w:p>
    <w:p w14:paraId="38342052" w14:textId="77777777" w:rsidR="00001953" w:rsidRPr="00001953" w:rsidRDefault="00001953" w:rsidP="00001953">
      <w:pPr>
        <w:numPr>
          <w:ilvl w:val="0"/>
          <w:numId w:val="41"/>
        </w:numPr>
      </w:pPr>
      <w:r w:rsidRPr="00001953">
        <w:t>Maintain regular communication with their supervisor</w:t>
      </w:r>
    </w:p>
    <w:p w14:paraId="42C8B35E" w14:textId="77777777" w:rsidR="00001953" w:rsidRPr="00001953" w:rsidRDefault="00001953" w:rsidP="00001953">
      <w:pPr>
        <w:numPr>
          <w:ilvl w:val="0"/>
          <w:numId w:val="41"/>
        </w:numPr>
      </w:pPr>
      <w:r w:rsidRPr="00001953">
        <w:t>Use company communication tools (e.g., Slack, Teams, Zoom) as directed</w:t>
      </w:r>
    </w:p>
    <w:p w14:paraId="2896053A" w14:textId="77777777" w:rsidR="00001953" w:rsidRPr="00001953" w:rsidRDefault="00001953" w:rsidP="00001953">
      <w:pPr>
        <w:numPr>
          <w:ilvl w:val="0"/>
          <w:numId w:val="41"/>
        </w:numPr>
      </w:pPr>
      <w:r w:rsidRPr="00001953">
        <w:t>Follow team collaboration norms (e.g., project management tools, documentation)</w:t>
      </w:r>
    </w:p>
    <w:p w14:paraId="1E534103" w14:textId="77777777" w:rsidR="00001953" w:rsidRPr="00001953" w:rsidRDefault="00001953" w:rsidP="00001953">
      <w:r w:rsidRPr="00001953">
        <w:pict w14:anchorId="0F29DB2F">
          <v:rect id="_x0000_i1513" style="width:0;height:1.5pt" o:hralign="center" o:hrstd="t" o:hr="t" fillcolor="#a0a0a0" stroked="f"/>
        </w:pict>
      </w:r>
    </w:p>
    <w:p w14:paraId="7AF1D9BE" w14:textId="77777777" w:rsidR="00001953" w:rsidRPr="00001953" w:rsidRDefault="00001953" w:rsidP="00001953">
      <w:pPr>
        <w:rPr>
          <w:b/>
          <w:bCs/>
        </w:rPr>
      </w:pPr>
      <w:r w:rsidRPr="00001953">
        <w:rPr>
          <w:b/>
          <w:bCs/>
        </w:rPr>
        <w:t>XI. Performance and Accountability</w:t>
      </w:r>
    </w:p>
    <w:p w14:paraId="2B3B3D12" w14:textId="77777777" w:rsidR="00001953" w:rsidRPr="00001953" w:rsidRDefault="00001953" w:rsidP="00001953">
      <w:r w:rsidRPr="00001953">
        <w:t>Remote workers are held to the same standards as on-site employees. This includes:</w:t>
      </w:r>
    </w:p>
    <w:p w14:paraId="1AA29683" w14:textId="77777777" w:rsidR="00001953" w:rsidRPr="00001953" w:rsidRDefault="00001953" w:rsidP="00001953">
      <w:pPr>
        <w:numPr>
          <w:ilvl w:val="0"/>
          <w:numId w:val="42"/>
        </w:numPr>
      </w:pPr>
      <w:r w:rsidRPr="00001953">
        <w:t>Meeting deadlines and productivity goals</w:t>
      </w:r>
    </w:p>
    <w:p w14:paraId="6A74D131" w14:textId="77777777" w:rsidR="00001953" w:rsidRPr="00001953" w:rsidRDefault="00001953" w:rsidP="00001953">
      <w:pPr>
        <w:numPr>
          <w:ilvl w:val="0"/>
          <w:numId w:val="42"/>
        </w:numPr>
      </w:pPr>
      <w:r w:rsidRPr="00001953">
        <w:t>Maintaining quality and compliance</w:t>
      </w:r>
    </w:p>
    <w:p w14:paraId="1E8A2815" w14:textId="77777777" w:rsidR="00001953" w:rsidRPr="00001953" w:rsidRDefault="00001953" w:rsidP="00001953">
      <w:pPr>
        <w:numPr>
          <w:ilvl w:val="0"/>
          <w:numId w:val="42"/>
        </w:numPr>
      </w:pPr>
      <w:r w:rsidRPr="00001953">
        <w:t>Demonstrating availability and responsiveness</w:t>
      </w:r>
    </w:p>
    <w:p w14:paraId="35307AF5" w14:textId="77777777" w:rsidR="00001953" w:rsidRPr="00001953" w:rsidRDefault="00001953" w:rsidP="00001953">
      <w:pPr>
        <w:numPr>
          <w:ilvl w:val="0"/>
          <w:numId w:val="42"/>
        </w:numPr>
      </w:pPr>
      <w:r w:rsidRPr="00001953">
        <w:t>Participating in regular performance evaluations</w:t>
      </w:r>
    </w:p>
    <w:p w14:paraId="1FE9CDDE" w14:textId="77777777" w:rsidR="00001953" w:rsidRPr="00001953" w:rsidRDefault="00001953" w:rsidP="00001953">
      <w:r w:rsidRPr="00001953">
        <w:rPr>
          <w:b/>
          <w:bCs/>
        </w:rPr>
        <w:t>Examples of policy violations include:</w:t>
      </w:r>
    </w:p>
    <w:p w14:paraId="678B6E5A" w14:textId="77777777" w:rsidR="00001953" w:rsidRPr="00001953" w:rsidRDefault="00001953" w:rsidP="00001953">
      <w:pPr>
        <w:numPr>
          <w:ilvl w:val="0"/>
          <w:numId w:val="43"/>
        </w:numPr>
      </w:pPr>
      <w:r w:rsidRPr="00001953">
        <w:t>Failure to submit timesheets or work logs</w:t>
      </w:r>
    </w:p>
    <w:p w14:paraId="6B154F14" w14:textId="77777777" w:rsidR="00001953" w:rsidRPr="00001953" w:rsidRDefault="00001953" w:rsidP="00001953">
      <w:pPr>
        <w:numPr>
          <w:ilvl w:val="0"/>
          <w:numId w:val="43"/>
        </w:numPr>
      </w:pPr>
      <w:r w:rsidRPr="00001953">
        <w:t>Ignoring communications or meetings</w:t>
      </w:r>
    </w:p>
    <w:p w14:paraId="2B87B10C" w14:textId="77777777" w:rsidR="00001953" w:rsidRPr="00001953" w:rsidRDefault="00001953" w:rsidP="00001953">
      <w:pPr>
        <w:numPr>
          <w:ilvl w:val="0"/>
          <w:numId w:val="43"/>
        </w:numPr>
      </w:pPr>
      <w:r w:rsidRPr="00001953">
        <w:t>Working unauthorized hours or from an unapproved location</w:t>
      </w:r>
    </w:p>
    <w:p w14:paraId="0F9FD9BA" w14:textId="77777777" w:rsidR="00001953" w:rsidRPr="00001953" w:rsidRDefault="00001953" w:rsidP="00001953">
      <w:pPr>
        <w:numPr>
          <w:ilvl w:val="0"/>
          <w:numId w:val="43"/>
        </w:numPr>
      </w:pPr>
      <w:r w:rsidRPr="00001953">
        <w:t>Failure to follow data security protocols</w:t>
      </w:r>
    </w:p>
    <w:p w14:paraId="0270692D" w14:textId="77777777" w:rsidR="00001953" w:rsidRPr="00001953" w:rsidRDefault="00001953" w:rsidP="00001953">
      <w:r w:rsidRPr="00001953">
        <w:t>Violations may result in loss of remote work privileges or disciplinary action.</w:t>
      </w:r>
    </w:p>
    <w:p w14:paraId="2D7F8418" w14:textId="77777777" w:rsidR="00001953" w:rsidRPr="00001953" w:rsidRDefault="00001953" w:rsidP="00001953">
      <w:r w:rsidRPr="00001953">
        <w:pict w14:anchorId="53CA5F3B">
          <v:rect id="_x0000_i1514" style="width:0;height:1.5pt" o:hralign="center" o:hrstd="t" o:hr="t" fillcolor="#a0a0a0" stroked="f"/>
        </w:pict>
      </w:r>
    </w:p>
    <w:p w14:paraId="0FFB4EA9" w14:textId="77777777" w:rsidR="00001953" w:rsidRPr="00001953" w:rsidRDefault="00001953" w:rsidP="00001953">
      <w:pPr>
        <w:rPr>
          <w:b/>
          <w:bCs/>
        </w:rPr>
      </w:pPr>
      <w:r w:rsidRPr="00001953">
        <w:rPr>
          <w:b/>
          <w:bCs/>
        </w:rPr>
        <w:t>XII. Compensation and Expenses</w:t>
      </w:r>
    </w:p>
    <w:p w14:paraId="37056DE1" w14:textId="77777777" w:rsidR="00001953" w:rsidRPr="00001953" w:rsidRDefault="00001953" w:rsidP="00001953">
      <w:pPr>
        <w:numPr>
          <w:ilvl w:val="0"/>
          <w:numId w:val="44"/>
        </w:numPr>
      </w:pPr>
      <w:r w:rsidRPr="00001953">
        <w:t>Employees will continue to be paid at their regular rate and pay schedule.</w:t>
      </w:r>
    </w:p>
    <w:p w14:paraId="66552B53" w14:textId="77777777" w:rsidR="00001953" w:rsidRPr="00001953" w:rsidRDefault="00001953" w:rsidP="00001953">
      <w:pPr>
        <w:numPr>
          <w:ilvl w:val="0"/>
          <w:numId w:val="44"/>
        </w:numPr>
      </w:pPr>
      <w:r w:rsidRPr="00001953">
        <w:t xml:space="preserve">[Company Name] will reimburse </w:t>
      </w:r>
      <w:r w:rsidRPr="00001953">
        <w:rPr>
          <w:b/>
          <w:bCs/>
        </w:rPr>
        <w:t>pre-approved</w:t>
      </w:r>
      <w:r w:rsidRPr="00001953">
        <w:t xml:space="preserve"> work-related expenses (e.g., internet stipend, special equipment) per the </w:t>
      </w:r>
      <w:r w:rsidRPr="00001953">
        <w:rPr>
          <w:b/>
          <w:bCs/>
        </w:rPr>
        <w:t>Expense Reimbursement Policy</w:t>
      </w:r>
      <w:r w:rsidRPr="00001953">
        <w:t>.</w:t>
      </w:r>
    </w:p>
    <w:p w14:paraId="6C6C0024" w14:textId="77777777" w:rsidR="00001953" w:rsidRPr="00001953" w:rsidRDefault="00001953" w:rsidP="00001953">
      <w:pPr>
        <w:numPr>
          <w:ilvl w:val="0"/>
          <w:numId w:val="44"/>
        </w:numPr>
      </w:pPr>
      <w:r w:rsidRPr="00001953">
        <w:lastRenderedPageBreak/>
        <w:t>Employees are responsible for routine home office costs, including:</w:t>
      </w:r>
    </w:p>
    <w:p w14:paraId="064E61FD" w14:textId="77777777" w:rsidR="00001953" w:rsidRPr="00001953" w:rsidRDefault="00001953" w:rsidP="00001953">
      <w:pPr>
        <w:numPr>
          <w:ilvl w:val="1"/>
          <w:numId w:val="44"/>
        </w:numPr>
      </w:pPr>
      <w:r w:rsidRPr="00001953">
        <w:t>Utilities</w:t>
      </w:r>
    </w:p>
    <w:p w14:paraId="0811D299" w14:textId="77777777" w:rsidR="00001953" w:rsidRPr="00001953" w:rsidRDefault="00001953" w:rsidP="00001953">
      <w:pPr>
        <w:numPr>
          <w:ilvl w:val="1"/>
          <w:numId w:val="44"/>
        </w:numPr>
      </w:pPr>
      <w:r w:rsidRPr="00001953">
        <w:t>Internet (unless specifically reimbursed)</w:t>
      </w:r>
    </w:p>
    <w:p w14:paraId="2EC8E717" w14:textId="77777777" w:rsidR="00001953" w:rsidRPr="00001953" w:rsidRDefault="00001953" w:rsidP="00001953">
      <w:pPr>
        <w:numPr>
          <w:ilvl w:val="1"/>
          <w:numId w:val="44"/>
        </w:numPr>
      </w:pPr>
      <w:r w:rsidRPr="00001953">
        <w:t>Home office furniture</w:t>
      </w:r>
    </w:p>
    <w:p w14:paraId="6C5616F9" w14:textId="77777777" w:rsidR="00001953" w:rsidRPr="00001953" w:rsidRDefault="00001953" w:rsidP="00001953">
      <w:r w:rsidRPr="00001953">
        <w:pict w14:anchorId="15B44D60">
          <v:rect id="_x0000_i1515" style="width:0;height:1.5pt" o:hralign="center" o:hrstd="t" o:hr="t" fillcolor="#a0a0a0" stroked="f"/>
        </w:pict>
      </w:r>
    </w:p>
    <w:p w14:paraId="3DBC4272" w14:textId="77777777" w:rsidR="00001953" w:rsidRPr="00001953" w:rsidRDefault="00001953" w:rsidP="00001953">
      <w:pPr>
        <w:rPr>
          <w:b/>
          <w:bCs/>
        </w:rPr>
      </w:pPr>
      <w:r w:rsidRPr="00001953">
        <w:rPr>
          <w:b/>
          <w:bCs/>
        </w:rPr>
        <w:t>XIII. Legal and Compliance Considerations</w:t>
      </w:r>
    </w:p>
    <w:p w14:paraId="7A4DF025" w14:textId="77777777" w:rsidR="00001953" w:rsidRPr="00001953" w:rsidRDefault="00001953" w:rsidP="00001953">
      <w:r w:rsidRPr="00001953">
        <w:t>Employees must follow:</w:t>
      </w:r>
    </w:p>
    <w:p w14:paraId="1B02A864" w14:textId="77777777" w:rsidR="00001953" w:rsidRPr="00001953" w:rsidRDefault="00001953" w:rsidP="00001953">
      <w:pPr>
        <w:numPr>
          <w:ilvl w:val="0"/>
          <w:numId w:val="45"/>
        </w:numPr>
      </w:pPr>
      <w:r w:rsidRPr="00001953">
        <w:t>Applicable federal, state, and local labor laws</w:t>
      </w:r>
    </w:p>
    <w:p w14:paraId="5002BC00" w14:textId="77777777" w:rsidR="00001953" w:rsidRPr="00001953" w:rsidRDefault="00001953" w:rsidP="00001953">
      <w:pPr>
        <w:numPr>
          <w:ilvl w:val="0"/>
          <w:numId w:val="45"/>
        </w:numPr>
      </w:pPr>
      <w:r w:rsidRPr="00001953">
        <w:t>Laws related to breaks, overtime, and work hours (especially if working from a different state)</w:t>
      </w:r>
    </w:p>
    <w:p w14:paraId="13F32445" w14:textId="77777777" w:rsidR="00001953" w:rsidRPr="00001953" w:rsidRDefault="00001953" w:rsidP="00001953">
      <w:pPr>
        <w:numPr>
          <w:ilvl w:val="0"/>
          <w:numId w:val="45"/>
        </w:numPr>
      </w:pPr>
      <w:r w:rsidRPr="00001953">
        <w:t>Tax and business registration requirements if working out-of-state or across jurisdictions</w:t>
      </w:r>
    </w:p>
    <w:p w14:paraId="71C31D7E" w14:textId="77777777" w:rsidR="00001953" w:rsidRPr="00001953" w:rsidRDefault="00001953" w:rsidP="00001953">
      <w:r w:rsidRPr="00001953">
        <w:rPr>
          <w:b/>
          <w:bCs/>
        </w:rPr>
        <w:t>Labor Law Posting Access:</w:t>
      </w:r>
      <w:r w:rsidRPr="00001953">
        <w:br/>
        <w:t xml:space="preserve">Remote employees will be provided with </w:t>
      </w:r>
      <w:r w:rsidRPr="00001953">
        <w:rPr>
          <w:b/>
          <w:bCs/>
        </w:rPr>
        <w:t>electronic access</w:t>
      </w:r>
      <w:r w:rsidRPr="00001953">
        <w:t xml:space="preserve"> to required workplace postings (e.g., via the company intranet or PDF delivery). Physical copies may be mailed upon request.</w:t>
      </w:r>
    </w:p>
    <w:p w14:paraId="654F4DFA" w14:textId="77777777" w:rsidR="00001953" w:rsidRPr="00001953" w:rsidRDefault="00001953" w:rsidP="00001953">
      <w:r w:rsidRPr="00001953">
        <w:rPr>
          <w:b/>
          <w:bCs/>
        </w:rPr>
        <w:t>Out-of-State Workers:</w:t>
      </w:r>
      <w:r w:rsidRPr="00001953">
        <w:br/>
        <w:t>Employees must notify HR if working in a different state so tax withholding and labor laws can be assessed and properly applied.</w:t>
      </w:r>
    </w:p>
    <w:p w14:paraId="2E6F5C8B" w14:textId="77777777" w:rsidR="00001953" w:rsidRPr="00001953" w:rsidRDefault="00001953" w:rsidP="00001953">
      <w:r w:rsidRPr="00001953">
        <w:pict w14:anchorId="410927C7">
          <v:rect id="_x0000_i1516" style="width:0;height:1.5pt" o:hralign="center" o:hrstd="t" o:hr="t" fillcolor="#a0a0a0" stroked="f"/>
        </w:pict>
      </w:r>
    </w:p>
    <w:p w14:paraId="013E097B" w14:textId="77777777" w:rsidR="00001953" w:rsidRPr="00001953" w:rsidRDefault="00001953" w:rsidP="00001953">
      <w:pPr>
        <w:rPr>
          <w:b/>
          <w:bCs/>
        </w:rPr>
      </w:pPr>
      <w:r w:rsidRPr="00001953">
        <w:rPr>
          <w:b/>
          <w:bCs/>
        </w:rPr>
        <w:t>XIV. Policy Review and Modifications</w:t>
      </w:r>
    </w:p>
    <w:p w14:paraId="43FE6403" w14:textId="77777777" w:rsidR="00001953" w:rsidRPr="00001953" w:rsidRDefault="00001953" w:rsidP="00001953">
      <w:r w:rsidRPr="00001953">
        <w:t>This policy will be reviewed annually, or sooner as laws, business needs, or technologies change.</w:t>
      </w:r>
      <w:r w:rsidRPr="00001953">
        <w:br/>
        <w:t>[Company Name] reserves the right to modify, suspend, or terminate any remote work arrangement at its discretion, with appropriate notice.</w:t>
      </w:r>
    </w:p>
    <w:p w14:paraId="114FA701" w14:textId="77777777" w:rsidR="00001953" w:rsidRPr="00001953" w:rsidRDefault="00001953" w:rsidP="00001953">
      <w:r w:rsidRPr="00001953">
        <w:rPr>
          <w:i/>
          <w:iCs/>
        </w:rPr>
        <w:t>This policy does not alter the at-will employment relationship between the company and any employee.</w:t>
      </w:r>
    </w:p>
    <w:p w14:paraId="7B7928AB" w14:textId="0EC3ACAC" w:rsidR="00001953" w:rsidRPr="007402E5" w:rsidRDefault="00001953" w:rsidP="007402E5">
      <w:r w:rsidRPr="00001953">
        <w:pict w14:anchorId="48C37DF3">
          <v:rect id="_x0000_i1530" style="width:0;height:1.5pt" o:hralign="center" o:hrstd="t" o:hr="t" fillcolor="#a0a0a0" stroked="f"/>
        </w:pict>
      </w:r>
    </w:p>
    <w:p w14:paraId="28CF2915" w14:textId="77777777" w:rsidR="007402E5" w:rsidRPr="007402E5" w:rsidRDefault="007402E5" w:rsidP="007402E5">
      <w:pPr>
        <w:rPr>
          <w:b/>
          <w:bCs/>
        </w:rPr>
      </w:pPr>
      <w:r w:rsidRPr="007402E5">
        <w:rPr>
          <w:b/>
          <w:bCs/>
        </w:rPr>
        <w:t>VIII. Employee Acknowledgment</w:t>
      </w:r>
    </w:p>
    <w:p w14:paraId="2E67DF00" w14:textId="3B83D796" w:rsidR="007402E5" w:rsidRPr="007402E5" w:rsidRDefault="007402E5" w:rsidP="007402E5">
      <w:r w:rsidRPr="007402E5">
        <w:t xml:space="preserve">I acknowledge that I have received, read, and understood [Company Name]’s </w:t>
      </w:r>
      <w:r w:rsidR="00001953">
        <w:t>Remote Work</w:t>
      </w:r>
      <w:r w:rsidRPr="007402E5">
        <w:t xml:space="preserve"> Policy. I agree to comply with its provisions and understand my rights and responsibilities under this policy and applicable law.</w:t>
      </w:r>
    </w:p>
    <w:p w14:paraId="61E2CAB4" w14:textId="53CA35A3" w:rsidR="007402E5" w:rsidRPr="007402E5" w:rsidRDefault="002171D2" w:rsidP="007402E5">
      <w:r>
        <w:t xml:space="preserve"> </w:t>
      </w:r>
    </w:p>
    <w:p w14:paraId="54875513" w14:textId="77777777" w:rsidR="007402E5" w:rsidRPr="007402E5" w:rsidRDefault="007402E5" w:rsidP="007402E5">
      <w:r w:rsidRPr="007402E5">
        <w:rPr>
          <w:b/>
          <w:bCs/>
        </w:rPr>
        <w:t>Employee Signature</w:t>
      </w:r>
      <w:r w:rsidRPr="007402E5">
        <w:t>: _______________________________</w:t>
      </w:r>
      <w:r w:rsidRPr="007402E5">
        <w:br/>
      </w:r>
      <w:r w:rsidRPr="007402E5">
        <w:rPr>
          <w:b/>
          <w:bCs/>
        </w:rPr>
        <w:t>Printed Name</w:t>
      </w:r>
      <w:r w:rsidRPr="007402E5">
        <w:t>: ____________________________________</w:t>
      </w:r>
      <w:r w:rsidRPr="007402E5">
        <w:br/>
      </w:r>
      <w:r w:rsidRPr="007402E5">
        <w:rPr>
          <w:b/>
          <w:bCs/>
        </w:rPr>
        <w:t>Date</w:t>
      </w:r>
      <w:r w:rsidRPr="007402E5">
        <w:t>: ____________________________________________</w:t>
      </w:r>
    </w:p>
    <w:p w14:paraId="29A1C5CC" w14:textId="77777777" w:rsidR="007402E5" w:rsidRDefault="007402E5"/>
    <w:sectPr w:rsidR="007402E5" w:rsidSect="007402E5">
      <w:footerReference w:type="default" r:id="rId7"/>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3EFA" w14:textId="77777777" w:rsidR="00832ADF" w:rsidRDefault="00832ADF" w:rsidP="007402E5">
      <w:pPr>
        <w:spacing w:after="0" w:line="240" w:lineRule="auto"/>
      </w:pPr>
      <w:r>
        <w:separator/>
      </w:r>
    </w:p>
  </w:endnote>
  <w:endnote w:type="continuationSeparator" w:id="0">
    <w:p w14:paraId="4D695A54" w14:textId="77777777" w:rsidR="00832ADF" w:rsidRDefault="00832ADF" w:rsidP="0074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2C75" w14:textId="77777777" w:rsidR="00606A7C" w:rsidRPr="00606A7C" w:rsidRDefault="00606A7C" w:rsidP="00606A7C">
    <w:pPr>
      <w:pStyle w:val="Footer"/>
      <w:rPr>
        <w:i/>
        <w:iCs/>
        <w:sz w:val="16"/>
        <w:szCs w:val="16"/>
      </w:rPr>
    </w:pPr>
    <w:r w:rsidRPr="00606A7C">
      <w:rPr>
        <w:i/>
        <w:iCs/>
        <w:sz w:val="16"/>
        <w:szCs w:val="16"/>
      </w:rPr>
      <w:t xml:space="preserve">This document is a </w:t>
    </w:r>
    <w:r w:rsidRPr="00606A7C">
      <w:rPr>
        <w:b/>
        <w:bCs/>
        <w:i/>
        <w:iCs/>
        <w:sz w:val="16"/>
        <w:szCs w:val="16"/>
      </w:rPr>
      <w:t>template</w:t>
    </w:r>
    <w:r w:rsidRPr="00606A7C">
      <w:rPr>
        <w:i/>
        <w:iCs/>
        <w:sz w:val="16"/>
        <w:szCs w:val="16"/>
      </w:rPr>
      <w:t xml:space="preserve"> and must be customized to reflect your organization’s operations, technology infrastructure, and applicable local, state, and federal laws. Final versions should be reviewed by legal counsel or qualified HR/safety professionals before implementation.</w:t>
    </w:r>
  </w:p>
  <w:p w14:paraId="2BBAF3D6" w14:textId="77777777" w:rsidR="007402E5" w:rsidRPr="007402E5" w:rsidRDefault="007402E5">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21A9" w14:textId="77777777" w:rsidR="00832ADF" w:rsidRDefault="00832ADF" w:rsidP="007402E5">
      <w:pPr>
        <w:spacing w:after="0" w:line="240" w:lineRule="auto"/>
      </w:pPr>
      <w:r>
        <w:separator/>
      </w:r>
    </w:p>
  </w:footnote>
  <w:footnote w:type="continuationSeparator" w:id="0">
    <w:p w14:paraId="75F2EC6D" w14:textId="77777777" w:rsidR="00832ADF" w:rsidRDefault="00832ADF" w:rsidP="00740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2F4"/>
    <w:multiLevelType w:val="multilevel"/>
    <w:tmpl w:val="9D2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21FC4"/>
    <w:multiLevelType w:val="multilevel"/>
    <w:tmpl w:val="AD76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811CE"/>
    <w:multiLevelType w:val="multilevel"/>
    <w:tmpl w:val="6ED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E6B0C"/>
    <w:multiLevelType w:val="multilevel"/>
    <w:tmpl w:val="FBC2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F79A2"/>
    <w:multiLevelType w:val="multilevel"/>
    <w:tmpl w:val="23C8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B23C8"/>
    <w:multiLevelType w:val="multilevel"/>
    <w:tmpl w:val="CAE4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B0AE9"/>
    <w:multiLevelType w:val="multilevel"/>
    <w:tmpl w:val="711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D2ED9"/>
    <w:multiLevelType w:val="multilevel"/>
    <w:tmpl w:val="E8AC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34FEB"/>
    <w:multiLevelType w:val="multilevel"/>
    <w:tmpl w:val="5B72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206F3"/>
    <w:multiLevelType w:val="multilevel"/>
    <w:tmpl w:val="736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F2DEA"/>
    <w:multiLevelType w:val="multilevel"/>
    <w:tmpl w:val="28CA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B171A"/>
    <w:multiLevelType w:val="multilevel"/>
    <w:tmpl w:val="E63C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2D61D1"/>
    <w:multiLevelType w:val="multilevel"/>
    <w:tmpl w:val="C9D2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17B90"/>
    <w:multiLevelType w:val="multilevel"/>
    <w:tmpl w:val="2AC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D4A94"/>
    <w:multiLevelType w:val="multilevel"/>
    <w:tmpl w:val="B870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820A3A"/>
    <w:multiLevelType w:val="multilevel"/>
    <w:tmpl w:val="24B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F1248"/>
    <w:multiLevelType w:val="multilevel"/>
    <w:tmpl w:val="14DC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96709"/>
    <w:multiLevelType w:val="multilevel"/>
    <w:tmpl w:val="19D6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11E54"/>
    <w:multiLevelType w:val="multilevel"/>
    <w:tmpl w:val="6EBC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948E3"/>
    <w:multiLevelType w:val="multilevel"/>
    <w:tmpl w:val="EE28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F610F"/>
    <w:multiLevelType w:val="multilevel"/>
    <w:tmpl w:val="6AF2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F456C"/>
    <w:multiLevelType w:val="multilevel"/>
    <w:tmpl w:val="EADE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3441C3"/>
    <w:multiLevelType w:val="multilevel"/>
    <w:tmpl w:val="2F1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AB659C"/>
    <w:multiLevelType w:val="multilevel"/>
    <w:tmpl w:val="D4DC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2434D"/>
    <w:multiLevelType w:val="multilevel"/>
    <w:tmpl w:val="220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26B23"/>
    <w:multiLevelType w:val="multilevel"/>
    <w:tmpl w:val="CB9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752B2"/>
    <w:multiLevelType w:val="multilevel"/>
    <w:tmpl w:val="8EC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B47E5"/>
    <w:multiLevelType w:val="multilevel"/>
    <w:tmpl w:val="B0F8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BB1F06"/>
    <w:multiLevelType w:val="multilevel"/>
    <w:tmpl w:val="B3A0A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0394F"/>
    <w:multiLevelType w:val="multilevel"/>
    <w:tmpl w:val="B99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17D45"/>
    <w:multiLevelType w:val="multilevel"/>
    <w:tmpl w:val="41AE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769EF"/>
    <w:multiLevelType w:val="multilevel"/>
    <w:tmpl w:val="7EEA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E4EAD"/>
    <w:multiLevelType w:val="multilevel"/>
    <w:tmpl w:val="25D4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54618F"/>
    <w:multiLevelType w:val="multilevel"/>
    <w:tmpl w:val="EC76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14B8D"/>
    <w:multiLevelType w:val="multilevel"/>
    <w:tmpl w:val="4D60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760E5"/>
    <w:multiLevelType w:val="multilevel"/>
    <w:tmpl w:val="D89C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6654D2"/>
    <w:multiLevelType w:val="multilevel"/>
    <w:tmpl w:val="A3F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E7E8F"/>
    <w:multiLevelType w:val="multilevel"/>
    <w:tmpl w:val="FFC6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E0655B"/>
    <w:multiLevelType w:val="multilevel"/>
    <w:tmpl w:val="4252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016FB"/>
    <w:multiLevelType w:val="multilevel"/>
    <w:tmpl w:val="8506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BB775C"/>
    <w:multiLevelType w:val="multilevel"/>
    <w:tmpl w:val="95E4B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0E544F"/>
    <w:multiLevelType w:val="multilevel"/>
    <w:tmpl w:val="4CF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9A2DDD"/>
    <w:multiLevelType w:val="multilevel"/>
    <w:tmpl w:val="57A0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A54982"/>
    <w:multiLevelType w:val="multilevel"/>
    <w:tmpl w:val="A54E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C4122C"/>
    <w:multiLevelType w:val="multilevel"/>
    <w:tmpl w:val="C4A4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796587">
    <w:abstractNumId w:val="35"/>
  </w:num>
  <w:num w:numId="2" w16cid:durableId="646470119">
    <w:abstractNumId w:val="26"/>
  </w:num>
  <w:num w:numId="3" w16cid:durableId="1792364139">
    <w:abstractNumId w:val="20"/>
  </w:num>
  <w:num w:numId="4" w16cid:durableId="687490972">
    <w:abstractNumId w:val="14"/>
  </w:num>
  <w:num w:numId="5" w16cid:durableId="1287009406">
    <w:abstractNumId w:val="38"/>
  </w:num>
  <w:num w:numId="6" w16cid:durableId="274294070">
    <w:abstractNumId w:val="40"/>
  </w:num>
  <w:num w:numId="7" w16cid:durableId="891769800">
    <w:abstractNumId w:val="13"/>
  </w:num>
  <w:num w:numId="8" w16cid:durableId="1606572552">
    <w:abstractNumId w:val="33"/>
  </w:num>
  <w:num w:numId="9" w16cid:durableId="1671522398">
    <w:abstractNumId w:val="10"/>
  </w:num>
  <w:num w:numId="10" w16cid:durableId="946816663">
    <w:abstractNumId w:val="11"/>
  </w:num>
  <w:num w:numId="11" w16cid:durableId="1334452374">
    <w:abstractNumId w:val="32"/>
  </w:num>
  <w:num w:numId="12" w16cid:durableId="437024785">
    <w:abstractNumId w:val="18"/>
  </w:num>
  <w:num w:numId="13" w16cid:durableId="120463834">
    <w:abstractNumId w:val="44"/>
  </w:num>
  <w:num w:numId="14" w16cid:durableId="1406799578">
    <w:abstractNumId w:val="24"/>
  </w:num>
  <w:num w:numId="15" w16cid:durableId="1186673460">
    <w:abstractNumId w:val="42"/>
  </w:num>
  <w:num w:numId="16" w16cid:durableId="1567373866">
    <w:abstractNumId w:val="9"/>
  </w:num>
  <w:num w:numId="17" w16cid:durableId="1268849651">
    <w:abstractNumId w:val="8"/>
  </w:num>
  <w:num w:numId="18" w16cid:durableId="2102214627">
    <w:abstractNumId w:val="37"/>
  </w:num>
  <w:num w:numId="19" w16cid:durableId="221135295">
    <w:abstractNumId w:val="7"/>
  </w:num>
  <w:num w:numId="20" w16cid:durableId="783886408">
    <w:abstractNumId w:val="43"/>
  </w:num>
  <w:num w:numId="21" w16cid:durableId="742724217">
    <w:abstractNumId w:val="0"/>
  </w:num>
  <w:num w:numId="22" w16cid:durableId="1205677707">
    <w:abstractNumId w:val="29"/>
  </w:num>
  <w:num w:numId="23" w16cid:durableId="393091496">
    <w:abstractNumId w:val="23"/>
  </w:num>
  <w:num w:numId="24" w16cid:durableId="2083523527">
    <w:abstractNumId w:val="5"/>
  </w:num>
  <w:num w:numId="25" w16cid:durableId="1154222549">
    <w:abstractNumId w:val="41"/>
  </w:num>
  <w:num w:numId="26" w16cid:durableId="188766707">
    <w:abstractNumId w:val="25"/>
  </w:num>
  <w:num w:numId="27" w16cid:durableId="1252008475">
    <w:abstractNumId w:val="2"/>
  </w:num>
  <w:num w:numId="28" w16cid:durableId="1700353766">
    <w:abstractNumId w:val="6"/>
  </w:num>
  <w:num w:numId="29" w16cid:durableId="1245071404">
    <w:abstractNumId w:val="39"/>
  </w:num>
  <w:num w:numId="30" w16cid:durableId="1208372068">
    <w:abstractNumId w:val="1"/>
  </w:num>
  <w:num w:numId="31" w16cid:durableId="1361319031">
    <w:abstractNumId w:val="3"/>
  </w:num>
  <w:num w:numId="32" w16cid:durableId="1909221764">
    <w:abstractNumId w:val="27"/>
  </w:num>
  <w:num w:numId="33" w16cid:durableId="798574659">
    <w:abstractNumId w:val="22"/>
  </w:num>
  <w:num w:numId="34" w16cid:durableId="1106268683">
    <w:abstractNumId w:val="36"/>
  </w:num>
  <w:num w:numId="35" w16cid:durableId="672413908">
    <w:abstractNumId w:val="21"/>
  </w:num>
  <w:num w:numId="36" w16cid:durableId="2088072660">
    <w:abstractNumId w:val="30"/>
  </w:num>
  <w:num w:numId="37" w16cid:durableId="1187595798">
    <w:abstractNumId w:val="16"/>
  </w:num>
  <w:num w:numId="38" w16cid:durableId="1660842259">
    <w:abstractNumId w:val="4"/>
  </w:num>
  <w:num w:numId="39" w16cid:durableId="567154291">
    <w:abstractNumId w:val="17"/>
  </w:num>
  <w:num w:numId="40" w16cid:durableId="1500851815">
    <w:abstractNumId w:val="31"/>
  </w:num>
  <w:num w:numId="41" w16cid:durableId="1139761586">
    <w:abstractNumId w:val="34"/>
  </w:num>
  <w:num w:numId="42" w16cid:durableId="244998014">
    <w:abstractNumId w:val="15"/>
  </w:num>
  <w:num w:numId="43" w16cid:durableId="718675231">
    <w:abstractNumId w:val="19"/>
  </w:num>
  <w:num w:numId="44" w16cid:durableId="1485899246">
    <w:abstractNumId w:val="28"/>
  </w:num>
  <w:num w:numId="45" w16cid:durableId="1956717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E5"/>
    <w:rsid w:val="00001953"/>
    <w:rsid w:val="002171D2"/>
    <w:rsid w:val="00606A7C"/>
    <w:rsid w:val="00717DF9"/>
    <w:rsid w:val="007402E5"/>
    <w:rsid w:val="00832ADF"/>
    <w:rsid w:val="00C036C2"/>
    <w:rsid w:val="00CB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D959"/>
  <w15:chartTrackingRefBased/>
  <w15:docId w15:val="{1B4A13B1-5C92-4713-B6BF-AFD7982D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2E5"/>
    <w:rPr>
      <w:rFonts w:eastAsiaTheme="majorEastAsia" w:cstheme="majorBidi"/>
      <w:color w:val="272727" w:themeColor="text1" w:themeTint="D8"/>
    </w:rPr>
  </w:style>
  <w:style w:type="paragraph" w:styleId="Title">
    <w:name w:val="Title"/>
    <w:basedOn w:val="Normal"/>
    <w:next w:val="Normal"/>
    <w:link w:val="TitleChar"/>
    <w:uiPriority w:val="10"/>
    <w:qFormat/>
    <w:rsid w:val="00740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2E5"/>
    <w:pPr>
      <w:spacing w:before="160"/>
      <w:jc w:val="center"/>
    </w:pPr>
    <w:rPr>
      <w:i/>
      <w:iCs/>
      <w:color w:val="404040" w:themeColor="text1" w:themeTint="BF"/>
    </w:rPr>
  </w:style>
  <w:style w:type="character" w:customStyle="1" w:styleId="QuoteChar">
    <w:name w:val="Quote Char"/>
    <w:basedOn w:val="DefaultParagraphFont"/>
    <w:link w:val="Quote"/>
    <w:uiPriority w:val="29"/>
    <w:rsid w:val="007402E5"/>
    <w:rPr>
      <w:i/>
      <w:iCs/>
      <w:color w:val="404040" w:themeColor="text1" w:themeTint="BF"/>
    </w:rPr>
  </w:style>
  <w:style w:type="paragraph" w:styleId="ListParagraph">
    <w:name w:val="List Paragraph"/>
    <w:basedOn w:val="Normal"/>
    <w:uiPriority w:val="34"/>
    <w:qFormat/>
    <w:rsid w:val="007402E5"/>
    <w:pPr>
      <w:ind w:left="720"/>
      <w:contextualSpacing/>
    </w:pPr>
  </w:style>
  <w:style w:type="character" w:styleId="IntenseEmphasis">
    <w:name w:val="Intense Emphasis"/>
    <w:basedOn w:val="DefaultParagraphFont"/>
    <w:uiPriority w:val="21"/>
    <w:qFormat/>
    <w:rsid w:val="007402E5"/>
    <w:rPr>
      <w:i/>
      <w:iCs/>
      <w:color w:val="0F4761" w:themeColor="accent1" w:themeShade="BF"/>
    </w:rPr>
  </w:style>
  <w:style w:type="paragraph" w:styleId="IntenseQuote">
    <w:name w:val="Intense Quote"/>
    <w:basedOn w:val="Normal"/>
    <w:next w:val="Normal"/>
    <w:link w:val="IntenseQuoteChar"/>
    <w:uiPriority w:val="30"/>
    <w:qFormat/>
    <w:rsid w:val="00740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2E5"/>
    <w:rPr>
      <w:i/>
      <w:iCs/>
      <w:color w:val="0F4761" w:themeColor="accent1" w:themeShade="BF"/>
    </w:rPr>
  </w:style>
  <w:style w:type="character" w:styleId="IntenseReference">
    <w:name w:val="Intense Reference"/>
    <w:basedOn w:val="DefaultParagraphFont"/>
    <w:uiPriority w:val="32"/>
    <w:qFormat/>
    <w:rsid w:val="007402E5"/>
    <w:rPr>
      <w:b/>
      <w:bCs/>
      <w:smallCaps/>
      <w:color w:val="0F4761" w:themeColor="accent1" w:themeShade="BF"/>
      <w:spacing w:val="5"/>
    </w:rPr>
  </w:style>
  <w:style w:type="paragraph" w:styleId="Header">
    <w:name w:val="header"/>
    <w:basedOn w:val="Normal"/>
    <w:link w:val="HeaderChar"/>
    <w:uiPriority w:val="99"/>
    <w:unhideWhenUsed/>
    <w:rsid w:val="0074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2E5"/>
  </w:style>
  <w:style w:type="paragraph" w:styleId="Footer">
    <w:name w:val="footer"/>
    <w:basedOn w:val="Normal"/>
    <w:link w:val="FooterChar"/>
    <w:uiPriority w:val="99"/>
    <w:unhideWhenUsed/>
    <w:rsid w:val="0074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Kenedy</dc:creator>
  <cp:keywords/>
  <dc:description/>
  <cp:lastModifiedBy>City of Kenedy</cp:lastModifiedBy>
  <cp:revision>3</cp:revision>
  <dcterms:created xsi:type="dcterms:W3CDTF">2025-09-11T17:34:00Z</dcterms:created>
  <dcterms:modified xsi:type="dcterms:W3CDTF">2025-09-11T17:36:00Z</dcterms:modified>
</cp:coreProperties>
</file>