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LIFECYCLE CHECKLIST  |  JURISDICTION: NONPROFIT  |  VERSION 2026.1</w:t>
      </w:r>
    </w:p>
    <w:p>
      <w:pPr>
        <w:spacing w:after="120"/>
      </w:pPr>
      <w:r>
        <w:rPr>
          <w:rFonts w:ascii="Arial" w:cs="Arial" w:eastAsia="Arial" w:hAnsi="Arial"/>
          <w:b/>
          <w:bCs/>
          <w:color w:val="1B3A52"/>
          <w:sz w:val="44"/>
          <w:szCs w:val="44"/>
        </w:rPr>
        <w:t xml:space="preserve">Grant-Funded Position Lifecycle Checklist</w:t>
      </w:r>
    </w:p>
    <w:p>
      <w:pPr>
        <w:spacing w:after="200" w:line="300"/>
      </w:pPr>
      <w:r>
        <w:rPr>
          <w:rFonts w:ascii="Arial" w:cs="Arial" w:eastAsia="Arial" w:hAnsi="Arial"/>
          <w:i/>
          <w:iCs/>
          <w:color w:val="4A5A6A"/>
          <w:sz w:val="22"/>
          <w:szCs w:val="22"/>
        </w:rPr>
        <w:t xml:space="preserve">From award to sunset: fund the position honestly, track the grant's rules, and plan the ending on day one.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checklist across the life of any grant-funded position — hiring within the grant's actual rules, tracking time and reporting obligations, and managing renewal risk so the ending is a plan instead of a surprise layoff.</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Before posting any position paid from grant funds</w:t>
      </w:r>
    </w:p>
    <w:p>
      <w:pPr>
        <w:pStyle w:val="ListParagraph"/>
        <w:numPr>
          <w:ilvl w:val="0"/>
          <w:numId w:val="2"/>
        </w:numPr>
        <w:spacing w:after="80" w:line="288"/>
      </w:pPr>
      <w:r>
        <w:rPr>
          <w:rFonts w:ascii="Arial" w:cs="Arial" w:eastAsia="Arial" w:hAnsi="Arial"/>
          <w:color w:val="22303C"/>
          <w:sz w:val="21"/>
          <w:szCs w:val="21"/>
        </w:rPr>
        <w:t xml:space="preserve">When drafting offer letters for grant-funded hires</w:t>
      </w:r>
    </w:p>
    <w:p>
      <w:pPr>
        <w:pStyle w:val="ListParagraph"/>
        <w:numPr>
          <w:ilvl w:val="0"/>
          <w:numId w:val="2"/>
        </w:numPr>
        <w:spacing w:after="80" w:line="288"/>
      </w:pPr>
      <w:r>
        <w:rPr>
          <w:rFonts w:ascii="Arial" w:cs="Arial" w:eastAsia="Arial" w:hAnsi="Arial"/>
          <w:color w:val="22303C"/>
          <w:sz w:val="21"/>
          <w:szCs w:val="21"/>
        </w:rPr>
        <w:t xml:space="preserve">When one employee is split across multiple funding sources</w:t>
      </w:r>
    </w:p>
    <w:p>
      <w:pPr>
        <w:pStyle w:val="ListParagraph"/>
        <w:numPr>
          <w:ilvl w:val="0"/>
          <w:numId w:val="2"/>
        </w:numPr>
        <w:spacing w:after="80" w:line="288"/>
      </w:pPr>
      <w:r>
        <w:rPr>
          <w:rFonts w:ascii="Arial" w:cs="Arial" w:eastAsia="Arial" w:hAnsi="Arial"/>
          <w:color w:val="22303C"/>
          <w:sz w:val="21"/>
          <w:szCs w:val="21"/>
        </w:rPr>
        <w:t xml:space="preserve">Six months before any grant period ends</w:t>
      </w:r>
    </w:p>
    <w:p>
      <w:pPr>
        <w:pStyle w:val="ListParagraph"/>
        <w:numPr>
          <w:ilvl w:val="0"/>
          <w:numId w:val="2"/>
        </w:numPr>
        <w:spacing w:after="80" w:line="288"/>
      </w:pPr>
      <w:r>
        <w:rPr>
          <w:rFonts w:ascii="Arial" w:cs="Arial" w:eastAsia="Arial" w:hAnsi="Arial"/>
          <w:color w:val="22303C"/>
          <w:sz w:val="21"/>
          <w:szCs w:val="21"/>
        </w:rPr>
        <w:t xml:space="preserve">When a funder's renewal looks shaky</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Employees learning at hire's end that their job was 'always temporary'</w:t>
      </w:r>
    </w:p>
    <w:p>
      <w:pPr>
        <w:pStyle w:val="ListParagraph"/>
        <w:numPr>
          <w:ilvl w:val="0"/>
          <w:numId w:val="2"/>
        </w:numPr>
        <w:spacing w:after="80" w:line="288"/>
      </w:pPr>
      <w:r>
        <w:rPr>
          <w:rFonts w:ascii="Arial" w:cs="Arial" w:eastAsia="Arial" w:hAnsi="Arial"/>
          <w:color w:val="22303C"/>
          <w:sz w:val="21"/>
          <w:szCs w:val="21"/>
        </w:rPr>
        <w:t xml:space="preserve">Time-allocation records that can't survive a grant audit</w:t>
      </w:r>
    </w:p>
    <w:p>
      <w:pPr>
        <w:pStyle w:val="ListParagraph"/>
        <w:numPr>
          <w:ilvl w:val="0"/>
          <w:numId w:val="2"/>
        </w:numPr>
        <w:spacing w:after="80" w:line="288"/>
      </w:pPr>
      <w:r>
        <w:rPr>
          <w:rFonts w:ascii="Arial" w:cs="Arial" w:eastAsia="Arial" w:hAnsi="Arial"/>
          <w:color w:val="22303C"/>
          <w:sz w:val="21"/>
          <w:szCs w:val="21"/>
        </w:rPr>
        <w:t xml:space="preserve">Grant rules (caps, match, allowability) discovered after the hire</w:t>
      </w:r>
    </w:p>
    <w:p>
      <w:pPr>
        <w:pStyle w:val="ListParagraph"/>
        <w:numPr>
          <w:ilvl w:val="0"/>
          <w:numId w:val="2"/>
        </w:numPr>
        <w:spacing w:after="80" w:line="288"/>
      </w:pPr>
      <w:r>
        <w:rPr>
          <w:rFonts w:ascii="Arial" w:cs="Arial" w:eastAsia="Arial" w:hAnsi="Arial"/>
          <w:color w:val="22303C"/>
          <w:sz w:val="21"/>
          <w:szCs w:val="21"/>
        </w:rPr>
        <w:t xml:space="preserve">Renewal cliffs that become same-week layoffs</w:t>
      </w:r>
    </w:p>
    <w:p>
      <w:pPr>
        <w:pStyle w:val="ListParagraph"/>
        <w:numPr>
          <w:ilvl w:val="0"/>
          <w:numId w:val="2"/>
        </w:numPr>
        <w:spacing w:after="80" w:line="288"/>
      </w:pPr>
      <w:r>
        <w:rPr>
          <w:rFonts w:ascii="Arial" w:cs="Arial" w:eastAsia="Arial" w:hAnsi="Arial"/>
          <w:color w:val="22303C"/>
          <w:sz w:val="21"/>
          <w:szCs w:val="21"/>
        </w:rPr>
        <w:t xml:space="preserve">Disallowed personnel costs the organization must repay</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POSITION LIFECYCLE CHECKLIST</w:t>
      </w:r>
    </w:p>
    <w:p>
      <w:pPr>
        <w:spacing w:after="160" w:line="288"/>
      </w:pPr>
      <w:r>
        <w:rPr>
          <w:rFonts w:ascii="Arial" w:cs="Arial" w:eastAsia="Arial" w:hAnsi="Arial"/>
          <w:color w:val="4A5A6A"/>
          <w:sz w:val="20"/>
          <w:szCs w:val="20"/>
        </w:rPr>
        <w:t xml:space="preserve">A grant-funded position has three lives: setup, operation, and sunset. Most damage is done by skipping the first and improvising the third.</w:t>
      </w:r>
    </w:p>
    <w:p>
      <w:pPr>
        <w:keepNext/>
        <w:spacing w:after="100" w:before="220"/>
      </w:pPr>
      <w:r>
        <w:rPr>
          <w:rFonts w:ascii="Arial" w:cs="Arial" w:eastAsia="Arial" w:hAnsi="Arial"/>
          <w:b/>
          <w:bCs/>
          <w:color w:val="1B3A52"/>
          <w:sz w:val="22"/>
          <w:szCs w:val="22"/>
        </w:rPr>
        <w:t xml:space="preserve">Phase 1 — Setup (before posting)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Position title and grant(s) funding it (award numbers)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Grant period covering the position (start / end)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 of salary per funding source (must total 100)</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Salary caps, fringe rules, or match requirements in the award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Whether the award actually allows this role (scope + budget line)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Phase 1a — Honest Offer Language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Offer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Offer letter states the position is grant-funded and continuation depends on funding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 promises of permanence, verbal or written, beyond the funding reality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At-will status preserved alongside the funding disclosure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Benefits eligibility confirmed against the fringe budget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Job description matches what the grant scope actually pays for</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Phase 2 — Operation (ongoing)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Working</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Operating discipline</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Owner</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Time and effort tracking matches the funding split — contemporaneous, after-the-fact certified as required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Duties drift monitored: work performed matches what the grant pays for</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Salary changes checked against caps and budget amendments before granting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Reporting obligations (programmatic + financial) calendared with owners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Split-funded employees: allocation reviewed quarterly against actual effort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Phase 2a — Duties Drift Log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501"/>
        <w:gridCol w:w="4289"/>
        <w:gridCol w:w="4290"/>
      </w:tblGrid>
      <w:tr>
        <w:trPr>
          <w:tblHeader/>
        </w:trPr>
        <w:tc>
          <w:tcPr>
            <w:tcW w:type="dxa" w:w="150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c>
          <w:tcPr>
            <w:tcW w:type="dxa" w:w="428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Drift observed (work outside grant scope)</w:t>
            </w:r>
          </w:p>
        </w:tc>
        <w:tc>
          <w:tcPr>
            <w:tcW w:type="dxa" w:w="429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Resolution (reallocate, amend, stop)</w:t>
            </w:r>
          </w:p>
        </w:tc>
      </w:tr>
      <w:tr>
        <w:tc>
          <w:tcPr>
            <w:tcW w:type="dxa" w:w="150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8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50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8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150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8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429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Phase 3 — Renewal Risk (start 6 months out)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Renewal decision date and probability (honest estimate)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Funder signals (program officer feedback, priorities shifts)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Bridge options if renewal slips (reserves, reallocation, other grants)</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Date employee will be told about renewal status (set it now)</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Retention risk: will they leave before the grant ends if uncertain?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Phase 4 — Sunset Plan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Done</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Sunset step</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 / 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 made: absorb into general funds / redeploy to new grant / end position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notified with as much runway as possible (target 60+ days)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Separation processed correctly: layoff classification, final pay timing, COBRA/benefits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Reference and rehire posture decided (this person did nothing wrong)</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Knowledge transfer and grant closeout records completed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Unemployment claim response prepared (layoff = generally payable; don't contest reflexively)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Program lead</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Finance / grants manager</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ED</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An employee is 100% grant-funded and doesn't know it.</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Time sheets show a 50/50 split that everyone knows is really 80/20.</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grant ends in 90 days and no sunset conversation has happened.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Salary was raised past the funder's cap without an amendment.</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Grant-paid staff spend significant hours on unallowable activities (general fundraising, other programs).</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organization is quietly planning to 'find the money somehow' instead of deciding.</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Hiring first and reading the award's personnel rules second.</w:t>
      </w:r>
    </w:p>
    <w:p>
      <w:pPr>
        <w:pStyle w:val="ListParagraph"/>
        <w:numPr>
          <w:ilvl w:val="0"/>
          <w:numId w:val="3"/>
        </w:numPr>
        <w:spacing w:after="90" w:line="288"/>
      </w:pPr>
      <w:r>
        <w:rPr>
          <w:rFonts w:ascii="Arial" w:cs="Arial" w:eastAsia="Arial" w:hAnsi="Arial"/>
          <w:color w:val="22303C"/>
          <w:sz w:val="21"/>
          <w:szCs w:val="21"/>
        </w:rPr>
        <w:t xml:space="preserve">Writing offer letters that imply permanence the budget can't promise.</w:t>
      </w:r>
    </w:p>
    <w:p>
      <w:pPr>
        <w:pStyle w:val="ListParagraph"/>
        <w:numPr>
          <w:ilvl w:val="0"/>
          <w:numId w:val="3"/>
        </w:numPr>
        <w:spacing w:after="90" w:line="288"/>
      </w:pPr>
      <w:r>
        <w:rPr>
          <w:rFonts w:ascii="Arial" w:cs="Arial" w:eastAsia="Arial" w:hAnsi="Arial"/>
          <w:color w:val="22303C"/>
          <w:sz w:val="21"/>
          <w:szCs w:val="21"/>
        </w:rPr>
        <w:t xml:space="preserve">Backfilling time records at reporting deadlines — auditors recognize reconstruction.</w:t>
      </w:r>
    </w:p>
    <w:p>
      <w:pPr>
        <w:pStyle w:val="ListParagraph"/>
        <w:numPr>
          <w:ilvl w:val="0"/>
          <w:numId w:val="3"/>
        </w:numPr>
        <w:spacing w:after="90" w:line="288"/>
      </w:pPr>
      <w:r>
        <w:rPr>
          <w:rFonts w:ascii="Arial" w:cs="Arial" w:eastAsia="Arial" w:hAnsi="Arial"/>
          <w:color w:val="22303C"/>
          <w:sz w:val="21"/>
          <w:szCs w:val="21"/>
        </w:rPr>
        <w:t xml:space="preserve">Letting the star employee drift into work no grant is paying for.</w:t>
      </w:r>
    </w:p>
    <w:p>
      <w:pPr>
        <w:pStyle w:val="ListParagraph"/>
        <w:numPr>
          <w:ilvl w:val="0"/>
          <w:numId w:val="3"/>
        </w:numPr>
        <w:spacing w:after="90" w:line="288"/>
      </w:pPr>
      <w:r>
        <w:rPr>
          <w:rFonts w:ascii="Arial" w:cs="Arial" w:eastAsia="Arial" w:hAnsi="Arial"/>
          <w:color w:val="22303C"/>
          <w:sz w:val="21"/>
          <w:szCs w:val="21"/>
        </w:rPr>
        <w:t xml:space="preserve">Treating the renewal cliff as unmentionable until it becomes a layoff notice.</w:t>
      </w:r>
    </w:p>
    <w:p>
      <w:pPr>
        <w:pStyle w:val="ListParagraph"/>
        <w:numPr>
          <w:ilvl w:val="0"/>
          <w:numId w:val="3"/>
        </w:numPr>
        <w:spacing w:after="90" w:line="288"/>
      </w:pPr>
      <w:r>
        <w:rPr>
          <w:rFonts w:ascii="Arial" w:cs="Arial" w:eastAsia="Arial" w:hAnsi="Arial"/>
          <w:color w:val="22303C"/>
          <w:sz w:val="21"/>
          <w:szCs w:val="21"/>
        </w:rPr>
        <w:t xml:space="preserve">Contesting the unemployment claim of someone laid off by funding cycle.</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Set the two calendar anchors now — the six-month renewal review and the employee-notification date — and put time-and-effort tracking on a monthly rhythm. When sunset comes, process it as the layoff it is, generously and cleanly; grant cycles end, reputations shouldn't.</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Mission does not replace infrastructure. If the same people problem keeps coming back, the system needs to be rebuilt.</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Grant Position Lifecycle | Version 2026.1 | 210.446.8730 | thomas@faulknerhrsolutions.info | faulknerhrsolutions.info/resources/grant-funded-position-lifecycle-checklist/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NONPROFIT HR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Grant-Funded Position Lifecycle Checklist</dc:title>
  <dc:creator>Faulkner HR Solutions</dc:creator>
  <dc:description>From award to sunset: fund the position honestly, track the grant's rules, and plan the ending on day one.</dc:description>
  <cp:lastModifiedBy>Un-named</cp:lastModifiedBy>
  <cp:revision>1</cp:revision>
  <dcterms:created xsi:type="dcterms:W3CDTF">2026-07-04T08:16:07.024Z</dcterms:created>
  <dcterms:modified xsi:type="dcterms:W3CDTF">2026-07-04T08:16:07.024Z</dcterms:modified>
</cp:coreProperties>
</file>

<file path=docProps/custom.xml><?xml version="1.0" encoding="utf-8"?>
<Properties xmlns="http://schemas.openxmlformats.org/officeDocument/2006/custom-properties" xmlns:vt="http://schemas.openxmlformats.org/officeDocument/2006/docPropsVTypes"/>
</file>