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COMPLIANCE TRACKER  |  JURISDICTION: FEDERAL  |  VERSION 2026.1</w:t>
      </w:r>
    </w:p>
    <w:p>
      <w:pPr>
        <w:spacing w:after="120"/>
      </w:pPr>
      <w:r>
        <w:rPr>
          <w:rFonts w:ascii="Arial" w:cs="Arial" w:eastAsia="Arial" w:hAnsi="Arial"/>
          <w:b/>
          <w:bCs/>
          <w:color w:val="1B3A52"/>
          <w:sz w:val="44"/>
          <w:szCs w:val="44"/>
        </w:rPr>
        <w:t xml:space="preserve">FMLA Notice Timeline Tracker</w:t>
      </w:r>
    </w:p>
    <w:p>
      <w:pPr>
        <w:spacing w:after="200" w:line="300"/>
      </w:pPr>
      <w:r>
        <w:rPr>
          <w:rFonts w:ascii="Arial" w:cs="Arial" w:eastAsia="Arial" w:hAnsi="Arial"/>
          <w:i/>
          <w:iCs/>
          <w:color w:val="4A5A6A"/>
          <w:sz w:val="22"/>
          <w:szCs w:val="22"/>
        </w:rPr>
        <w:t xml:space="preserve">Every FMLA notice deadline on one page — from trigger event to return-to-work — with dates you can defend.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tracker from the moment FMLA is triggered to hit every notice deadline — eligibility, rights and responsibilities, certification, and designation — and to document that each notice actually went out on time.</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The day an employee requests leave, or you learn of a qualifying reason</w:t>
      </w:r>
    </w:p>
    <w:p>
      <w:pPr>
        <w:pStyle w:val="ListParagraph"/>
        <w:numPr>
          <w:ilvl w:val="0"/>
          <w:numId w:val="2"/>
        </w:numPr>
        <w:spacing w:after="80" w:line="288"/>
      </w:pPr>
      <w:r>
        <w:rPr>
          <w:rFonts w:ascii="Arial" w:cs="Arial" w:eastAsia="Arial" w:hAnsi="Arial"/>
          <w:color w:val="22303C"/>
          <w:sz w:val="21"/>
          <w:szCs w:val="21"/>
        </w:rPr>
        <w:t xml:space="preserve">When an absence 'might be' FMLA — surgery mentioned, hospitalization, new baby</w:t>
      </w:r>
    </w:p>
    <w:p>
      <w:pPr>
        <w:pStyle w:val="ListParagraph"/>
        <w:numPr>
          <w:ilvl w:val="0"/>
          <w:numId w:val="2"/>
        </w:numPr>
        <w:spacing w:after="80" w:line="288"/>
      </w:pPr>
      <w:r>
        <w:rPr>
          <w:rFonts w:ascii="Arial" w:cs="Arial" w:eastAsia="Arial" w:hAnsi="Arial"/>
          <w:color w:val="22303C"/>
          <w:sz w:val="21"/>
          <w:szCs w:val="21"/>
        </w:rPr>
        <w:t xml:space="preserve">When certification comes back incomplete or late</w:t>
      </w:r>
    </w:p>
    <w:p>
      <w:pPr>
        <w:pStyle w:val="ListParagraph"/>
        <w:numPr>
          <w:ilvl w:val="0"/>
          <w:numId w:val="2"/>
        </w:numPr>
        <w:spacing w:after="80" w:line="288"/>
      </w:pPr>
      <w:r>
        <w:rPr>
          <w:rFonts w:ascii="Arial" w:cs="Arial" w:eastAsia="Arial" w:hAnsi="Arial"/>
          <w:color w:val="22303C"/>
          <w:sz w:val="21"/>
          <w:szCs w:val="21"/>
        </w:rPr>
        <w:t xml:space="preserve">When leave is running and intermittent absences continue</w:t>
      </w:r>
    </w:p>
    <w:p>
      <w:pPr>
        <w:pStyle w:val="ListParagraph"/>
        <w:numPr>
          <w:ilvl w:val="0"/>
          <w:numId w:val="2"/>
        </w:numPr>
        <w:spacing w:after="80" w:line="288"/>
      </w:pPr>
      <w:r>
        <w:rPr>
          <w:rFonts w:ascii="Arial" w:cs="Arial" w:eastAsia="Arial" w:hAnsi="Arial"/>
          <w:color w:val="22303C"/>
          <w:sz w:val="21"/>
          <w:szCs w:val="21"/>
        </w:rPr>
        <w:t xml:space="preserve">Before any discipline or termination involving an employee on or near FMLA leave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Interference claims from missed 5-business-day notice deadlines</w:t>
      </w:r>
    </w:p>
    <w:p>
      <w:pPr>
        <w:pStyle w:val="ListParagraph"/>
        <w:numPr>
          <w:ilvl w:val="0"/>
          <w:numId w:val="2"/>
        </w:numPr>
        <w:spacing w:after="80" w:line="288"/>
      </w:pPr>
      <w:r>
        <w:rPr>
          <w:rFonts w:ascii="Arial" w:cs="Arial" w:eastAsia="Arial" w:hAnsi="Arial"/>
          <w:color w:val="22303C"/>
          <w:sz w:val="21"/>
          <w:szCs w:val="21"/>
        </w:rPr>
        <w:t xml:space="preserve">Losing the right to designate leave retroactively</w:t>
      </w:r>
    </w:p>
    <w:p>
      <w:pPr>
        <w:pStyle w:val="ListParagraph"/>
        <w:numPr>
          <w:ilvl w:val="0"/>
          <w:numId w:val="2"/>
        </w:numPr>
        <w:spacing w:after="80" w:line="288"/>
      </w:pPr>
      <w:r>
        <w:rPr>
          <w:rFonts w:ascii="Arial" w:cs="Arial" w:eastAsia="Arial" w:hAnsi="Arial"/>
          <w:color w:val="22303C"/>
          <w:sz w:val="21"/>
          <w:szCs w:val="21"/>
        </w:rPr>
        <w:t xml:space="preserve">Certification disputes with no documented cure window</w:t>
      </w:r>
    </w:p>
    <w:p>
      <w:pPr>
        <w:pStyle w:val="ListParagraph"/>
        <w:numPr>
          <w:ilvl w:val="0"/>
          <w:numId w:val="2"/>
        </w:numPr>
        <w:spacing w:after="80" w:line="288"/>
      </w:pPr>
      <w:r>
        <w:rPr>
          <w:rFonts w:ascii="Arial" w:cs="Arial" w:eastAsia="Arial" w:hAnsi="Arial"/>
          <w:color w:val="22303C"/>
          <w:sz w:val="21"/>
          <w:szCs w:val="21"/>
        </w:rPr>
        <w:t xml:space="preserve">Terminations that land mid-leave with no paper trail</w:t>
      </w:r>
    </w:p>
    <w:p>
      <w:pPr>
        <w:pStyle w:val="ListParagraph"/>
        <w:numPr>
          <w:ilvl w:val="0"/>
          <w:numId w:val="2"/>
        </w:numPr>
        <w:spacing w:after="80" w:line="288"/>
      </w:pPr>
      <w:r>
        <w:rPr>
          <w:rFonts w:ascii="Arial" w:cs="Arial" w:eastAsia="Arial" w:hAnsi="Arial"/>
          <w:color w:val="22303C"/>
          <w:sz w:val="21"/>
          <w:szCs w:val="21"/>
        </w:rPr>
        <w:t xml:space="preserve">FMLA time that never gets counted because designation never happened</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FMLA TIMELINE TRACKER</w:t>
      </w:r>
    </w:p>
    <w:p>
      <w:pPr>
        <w:spacing w:after="160" w:line="288"/>
      </w:pPr>
      <w:r>
        <w:rPr>
          <w:rFonts w:ascii="Arial" w:cs="Arial" w:eastAsia="Arial" w:hAnsi="Arial"/>
          <w:color w:val="4A5A6A"/>
          <w:sz w:val="20"/>
          <w:szCs w:val="20"/>
        </w:rPr>
        <w:t xml:space="preserve">FMLA compliance is mostly deadlines. The employer's clock usually starts before the employee says the letters F-M-L-A — it starts when you have enough information to suspect a qualifying reason.</w:t>
      </w:r>
    </w:p>
    <w:p>
      <w:pPr>
        <w:keepNext/>
        <w:spacing w:after="100" w:before="220"/>
      </w:pPr>
      <w:r>
        <w:rPr>
          <w:rFonts w:ascii="Arial" w:cs="Arial" w:eastAsia="Arial" w:hAnsi="Arial"/>
          <w:b/>
          <w:bCs/>
          <w:color w:val="1B3A52"/>
          <w:sz w:val="22"/>
          <w:szCs w:val="22"/>
        </w:rPr>
        <w:t xml:space="preserve">Part 1 — Trigger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Employee name and position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Date employer first learned of a possibly qualifying reason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How it surfaced (request, call-in, supervisor report, medical note)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Qualifying reason category (own condition, family care, bonding, military family)</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Leave type expected (continuous, intermittent, reduced schedule)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Eligibility Review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Met?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Eligibility element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Data / source</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12 months of employment (need not be consecutive)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1,250 hours worked in the 12 months before leave starts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Worksite has 50+ employees within 75 miles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FMLA leave available in the applicable 12-month period (check the balance)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Notice Deadlines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150"/>
        <w:gridCol w:w="2940"/>
        <w:gridCol w:w="1470"/>
        <w:gridCol w:w="1470"/>
        <w:gridCol w:w="1050"/>
      </w:tblGrid>
      <w:tr>
        <w:trPr>
          <w:tblHeader/>
        </w:trPr>
        <w:tc>
          <w:tcPr>
            <w:tcW w:type="dxa" w:w="315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Notice</w:t>
            </w:r>
          </w:p>
        </w:tc>
        <w:tc>
          <w:tcPr>
            <w:tcW w:type="dxa" w:w="294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Deadline</w:t>
            </w:r>
          </w:p>
        </w:tc>
        <w:tc>
          <w:tcPr>
            <w:tcW w:type="dxa" w:w="147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due</w:t>
            </w:r>
          </w:p>
        </w:tc>
        <w:tc>
          <w:tcPr>
            <w:tcW w:type="dxa" w:w="147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sent</w:t>
            </w:r>
          </w:p>
        </w:tc>
        <w:tc>
          <w:tcPr>
            <w:tcW w:type="dxa" w:w="105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Method</w:t>
            </w:r>
          </w:p>
        </w:tc>
      </w:tr>
      <w:tr>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Eligibility Notice (WH-381)</w:t>
            </w:r>
          </w:p>
        </w:tc>
        <w:tc>
          <w:tcPr>
            <w:tcW w:type="dxa" w:w="29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5 business days after leave request / knowledge</w:t>
            </w:r>
          </w:p>
        </w:tc>
        <w:tc>
          <w:tcPr>
            <w:tcW w:type="dxa" w:w="14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Rights &amp; Responsibilities Notice</w:t>
            </w:r>
          </w:p>
        </w:tc>
        <w:tc>
          <w:tcPr>
            <w:tcW w:type="dxa" w:w="29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With the eligibility notice</w:t>
            </w:r>
          </w:p>
        </w:tc>
        <w:tc>
          <w:tcPr>
            <w:tcW w:type="dxa" w:w="14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Certification request</w:t>
            </w:r>
          </w:p>
        </w:tc>
        <w:tc>
          <w:tcPr>
            <w:tcW w:type="dxa" w:w="29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With eligibility notice (15 calendar days for employee to return it)</w:t>
            </w:r>
          </w:p>
        </w:tc>
        <w:tc>
          <w:tcPr>
            <w:tcW w:type="dxa" w:w="14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1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Designation Notice (WH-382)</w:t>
            </w:r>
          </w:p>
        </w:tc>
        <w:tc>
          <w:tcPr>
            <w:tcW w:type="dxa" w:w="294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5 business days after enough info to determine FMLA qualification</w:t>
            </w:r>
          </w:p>
        </w:tc>
        <w:tc>
          <w:tcPr>
            <w:tcW w:type="dxa" w:w="14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7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05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Certification Tracking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Certification 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Certification received (date) — or 15-day window expired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If incomplete/insufficient: written notice of deficiencies, with 7 calendar days to cure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Clarification/authentication handled through HR — supervisors never contact the provider</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Second opinion requested? (employer's expense)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Recertification schedule noted, if intermittent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Leave in Progress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Leave start date and expected duration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FMLA hours/weeks used to date (update regularly)</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Benefits continuation confirmed (premium payment arrangement)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Intermittent absence log location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Contact expectations during leave (reasonable, documented)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Return to Work</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Return 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 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Fitness-for-duty certification required? (only if policy requires it uniformly and it was stated in the designation notice)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Restored to same or equivalent position — pay, benefits, shift, location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Any schedule or duty change reviewed against 'equivalent position' standard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If not returning: reason documented; ADA accommodation review before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Leave balance closed out and records filed (retain 3+ years)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Tracked by (HR)</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Reviewed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never said 'FMLA' — but described surgery, hospitalization, or a serious condition, and no eligibility notice went out.</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Discipline or termination is being considered for someone on, returning from, or recently denied FMLA leave.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 supervisor contacted the employee's doctor directly.</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Attendance points were assessed for absences that should have been FMLA-protected.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Leave was never formally designated, and now the employer wants to count it.</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returning employee is being offered a 'similar' job that pays less or works worse hours.</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Waiting for the employee to invoke FMLA by name — the employer's duties start with knowledge of a qualifying reason.</w:t>
      </w:r>
    </w:p>
    <w:p>
      <w:pPr>
        <w:pStyle w:val="ListParagraph"/>
        <w:numPr>
          <w:ilvl w:val="0"/>
          <w:numId w:val="3"/>
        </w:numPr>
        <w:spacing w:after="90" w:line="288"/>
      </w:pPr>
      <w:r>
        <w:rPr>
          <w:rFonts w:ascii="Arial" w:cs="Arial" w:eastAsia="Arial" w:hAnsi="Arial"/>
          <w:color w:val="22303C"/>
          <w:sz w:val="21"/>
          <w:szCs w:val="21"/>
        </w:rPr>
        <w:t xml:space="preserve">Missing the 5-business-day eligibility and designation windows.</w:t>
      </w:r>
    </w:p>
    <w:p>
      <w:pPr>
        <w:pStyle w:val="ListParagraph"/>
        <w:numPr>
          <w:ilvl w:val="0"/>
          <w:numId w:val="3"/>
        </w:numPr>
        <w:spacing w:after="90" w:line="288"/>
      </w:pPr>
      <w:r>
        <w:rPr>
          <w:rFonts w:ascii="Arial" w:cs="Arial" w:eastAsia="Arial" w:hAnsi="Arial"/>
          <w:color w:val="22303C"/>
          <w:sz w:val="21"/>
          <w:szCs w:val="21"/>
        </w:rPr>
        <w:t xml:space="preserve">Treating an incomplete certification as a denial instead of issuing a 7-day cure notice.</w:t>
      </w:r>
    </w:p>
    <w:p>
      <w:pPr>
        <w:pStyle w:val="ListParagraph"/>
        <w:numPr>
          <w:ilvl w:val="0"/>
          <w:numId w:val="3"/>
        </w:numPr>
        <w:spacing w:after="90" w:line="288"/>
      </w:pPr>
      <w:r>
        <w:rPr>
          <w:rFonts w:ascii="Arial" w:cs="Arial" w:eastAsia="Arial" w:hAnsi="Arial"/>
          <w:color w:val="22303C"/>
          <w:sz w:val="21"/>
          <w:szCs w:val="21"/>
        </w:rPr>
        <w:t xml:space="preserve">Letting supervisors call the doctor's office.</w:t>
      </w:r>
    </w:p>
    <w:p>
      <w:pPr>
        <w:pStyle w:val="ListParagraph"/>
        <w:numPr>
          <w:ilvl w:val="0"/>
          <w:numId w:val="3"/>
        </w:numPr>
        <w:spacing w:after="90" w:line="288"/>
      </w:pPr>
      <w:r>
        <w:rPr>
          <w:rFonts w:ascii="Arial" w:cs="Arial" w:eastAsia="Arial" w:hAnsi="Arial"/>
          <w:color w:val="22303C"/>
          <w:sz w:val="21"/>
          <w:szCs w:val="21"/>
        </w:rPr>
        <w:t xml:space="preserve">Counting FMLA-protected absences in a no-fault attendance point system.</w:t>
      </w:r>
    </w:p>
    <w:p>
      <w:pPr>
        <w:pStyle w:val="ListParagraph"/>
        <w:numPr>
          <w:ilvl w:val="0"/>
          <w:numId w:val="3"/>
        </w:numPr>
        <w:spacing w:after="90" w:line="288"/>
      </w:pPr>
      <w:r>
        <w:rPr>
          <w:rFonts w:ascii="Arial" w:cs="Arial" w:eastAsia="Arial" w:hAnsi="Arial"/>
          <w:color w:val="22303C"/>
          <w:sz w:val="21"/>
          <w:szCs w:val="21"/>
        </w:rPr>
        <w:t xml:space="preserve">Restoring the employee to a 'similar' position that is worse in pay, shift, or duties.</w:t>
      </w:r>
    </w:p>
    <w:p>
      <w:pPr>
        <w:pStyle w:val="ListParagraph"/>
        <w:numPr>
          <w:ilvl w:val="0"/>
          <w:numId w:val="3"/>
        </w:numPr>
        <w:spacing w:after="90" w:line="288"/>
      </w:pPr>
      <w:r>
        <w:rPr>
          <w:rFonts w:ascii="Arial" w:cs="Arial" w:eastAsia="Arial" w:hAnsi="Arial"/>
          <w:color w:val="22303C"/>
          <w:sz w:val="21"/>
          <w:szCs w:val="21"/>
        </w:rPr>
        <w:t xml:space="preserve">Never designating leave, then trying to count it retroactively at termination time.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Keep this tracker in the employee's leave file (separate from the general personnel file), update the leave balance as absences occur, and calendar every deadline the day it is set. If discipline or separation is contemplated at any point in the timeline, stop and route it through the Retaliation Risk Map first.</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FMLA Timeline Tracker | Version 2026.1 | 210.446.8730 | thomas@faulknerhrsolutions.info | faulknerhrsolutions.info/resources/fmla-notice-timeline-tracker/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COMPLIANCE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FMLA Notice Timeline Tracker</dc:title>
  <dc:creator>Faulkner HR Solutions</dc:creator>
  <dc:description>Every FMLA notice deadline on one page — from trigger event to return-to-work — with dates you can defend.</dc:description>
  <cp:lastModifiedBy>Un-named</cp:lastModifiedBy>
  <cp:revision>1</cp:revision>
  <dcterms:created xsi:type="dcterms:W3CDTF">2026-07-04T08:16:05.168Z</dcterms:created>
  <dcterms:modified xsi:type="dcterms:W3CDTF">2026-07-04T08:16:05.168Z</dcterms:modified>
</cp:coreProperties>
</file>

<file path=docProps/custom.xml><?xml version="1.0" encoding="utf-8"?>
<Properties xmlns="http://schemas.openxmlformats.org/officeDocument/2006/custom-properties" xmlns:vt="http://schemas.openxmlformats.org/officeDocument/2006/docPropsVTypes"/>
</file>