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EMPLOYER DECISION FILE  |  JURISDICTION: FEDERAL  |  VERSION 2026.1</w:t>
      </w:r>
    </w:p>
    <w:p>
      <w:pPr>
        <w:spacing w:after="120"/>
      </w:pPr>
      <w:r>
        <w:rPr>
          <w:rFonts w:ascii="Arial" w:cs="Arial" w:eastAsia="Arial" w:hAnsi="Arial"/>
          <w:b/>
          <w:bCs/>
          <w:color w:val="1B3A52"/>
          <w:sz w:val="44"/>
          <w:szCs w:val="44"/>
        </w:rPr>
        <w:t xml:space="preserve">Exempt vs. Nonexempt Classification File</w:t>
      </w:r>
    </w:p>
    <w:p>
      <w:pPr>
        <w:spacing w:after="200" w:line="300"/>
      </w:pPr>
      <w:r>
        <w:rPr>
          <w:rFonts w:ascii="Arial" w:cs="Arial" w:eastAsia="Arial" w:hAnsi="Arial"/>
          <w:i/>
          <w:iCs/>
          <w:color w:val="4A5A6A"/>
          <w:sz w:val="22"/>
          <w:szCs w:val="22"/>
        </w:rPr>
        <w:t xml:space="preserve">Build a defensible exemption file per position: salary basis, salary level, duties test, and a review date — before the DOL builds theirs.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file to document why each exempt position is exempt — salary basis, salary level, and an honest duties analysis against the actual job — creating the record that defends the classification or reveals it needs to change.</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When creating any new salaried position</w:t>
      </w:r>
    </w:p>
    <w:p>
      <w:pPr>
        <w:pStyle w:val="ListParagraph"/>
        <w:numPr>
          <w:ilvl w:val="0"/>
          <w:numId w:val="2"/>
        </w:numPr>
        <w:spacing w:after="80" w:line="288"/>
      </w:pPr>
      <w:r>
        <w:rPr>
          <w:rFonts w:ascii="Arial" w:cs="Arial" w:eastAsia="Arial" w:hAnsi="Arial"/>
          <w:color w:val="22303C"/>
          <w:sz w:val="21"/>
          <w:szCs w:val="21"/>
        </w:rPr>
        <w:t xml:space="preserve">Before promoting someone into an 'exempt' role</w:t>
      </w:r>
    </w:p>
    <w:p>
      <w:pPr>
        <w:pStyle w:val="ListParagraph"/>
        <w:numPr>
          <w:ilvl w:val="0"/>
          <w:numId w:val="2"/>
        </w:numPr>
        <w:spacing w:after="80" w:line="288"/>
      </w:pPr>
      <w:r>
        <w:rPr>
          <w:rFonts w:ascii="Arial" w:cs="Arial" w:eastAsia="Arial" w:hAnsi="Arial"/>
          <w:color w:val="22303C"/>
          <w:sz w:val="21"/>
          <w:szCs w:val="21"/>
        </w:rPr>
        <w:t xml:space="preserve">When DOL salary thresholds change</w:t>
      </w:r>
    </w:p>
    <w:p>
      <w:pPr>
        <w:pStyle w:val="ListParagraph"/>
        <w:numPr>
          <w:ilvl w:val="0"/>
          <w:numId w:val="2"/>
        </w:numPr>
        <w:spacing w:after="80" w:line="288"/>
      </w:pPr>
      <w:r>
        <w:rPr>
          <w:rFonts w:ascii="Arial" w:cs="Arial" w:eastAsia="Arial" w:hAnsi="Arial"/>
          <w:color w:val="22303C"/>
          <w:sz w:val="21"/>
          <w:szCs w:val="21"/>
        </w:rPr>
        <w:t xml:space="preserve">When a job's actual duties have drifted from its description</w:t>
      </w:r>
    </w:p>
    <w:p>
      <w:pPr>
        <w:pStyle w:val="ListParagraph"/>
        <w:numPr>
          <w:ilvl w:val="0"/>
          <w:numId w:val="2"/>
        </w:numPr>
        <w:spacing w:after="80" w:line="288"/>
      </w:pPr>
      <w:r>
        <w:rPr>
          <w:rFonts w:ascii="Arial" w:cs="Arial" w:eastAsia="Arial" w:hAnsi="Arial"/>
          <w:color w:val="22303C"/>
          <w:sz w:val="21"/>
          <w:szCs w:val="21"/>
        </w:rPr>
        <w:t xml:space="preserve">Any time someone asks 'why is this position exempt?' and no one has a written answer</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Misclassification liability: back overtime for every affected week, times every incumbent</w:t>
      </w:r>
    </w:p>
    <w:p>
      <w:pPr>
        <w:pStyle w:val="ListParagraph"/>
        <w:numPr>
          <w:ilvl w:val="0"/>
          <w:numId w:val="2"/>
        </w:numPr>
        <w:spacing w:after="80" w:line="288"/>
      </w:pPr>
      <w:r>
        <w:rPr>
          <w:rFonts w:ascii="Arial" w:cs="Arial" w:eastAsia="Arial" w:hAnsi="Arial"/>
          <w:color w:val="22303C"/>
          <w:sz w:val="21"/>
          <w:szCs w:val="21"/>
        </w:rPr>
        <w:t xml:space="preserve">'Salaried means exempt' folklore driving classification</w:t>
      </w:r>
    </w:p>
    <w:p>
      <w:pPr>
        <w:pStyle w:val="ListParagraph"/>
        <w:numPr>
          <w:ilvl w:val="0"/>
          <w:numId w:val="2"/>
        </w:numPr>
        <w:spacing w:after="80" w:line="288"/>
      </w:pPr>
      <w:r>
        <w:rPr>
          <w:rFonts w:ascii="Arial" w:cs="Arial" w:eastAsia="Arial" w:hAnsi="Arial"/>
          <w:color w:val="22303C"/>
          <w:sz w:val="21"/>
          <w:szCs w:val="21"/>
        </w:rPr>
        <w:t xml:space="preserve">Manager titles with no management duties behind them</w:t>
      </w:r>
    </w:p>
    <w:p>
      <w:pPr>
        <w:pStyle w:val="ListParagraph"/>
        <w:numPr>
          <w:ilvl w:val="0"/>
          <w:numId w:val="2"/>
        </w:numPr>
        <w:spacing w:after="80" w:line="288"/>
      </w:pPr>
      <w:r>
        <w:rPr>
          <w:rFonts w:ascii="Arial" w:cs="Arial" w:eastAsia="Arial" w:hAnsi="Arial"/>
          <w:color w:val="22303C"/>
          <w:sz w:val="21"/>
          <w:szCs w:val="21"/>
        </w:rPr>
        <w:t xml:space="preserve">Improper salary deductions quietly destroying the salary basis</w:t>
      </w:r>
    </w:p>
    <w:p>
      <w:pPr>
        <w:pStyle w:val="ListParagraph"/>
        <w:numPr>
          <w:ilvl w:val="0"/>
          <w:numId w:val="2"/>
        </w:numPr>
        <w:spacing w:after="80" w:line="288"/>
      </w:pPr>
      <w:r>
        <w:rPr>
          <w:rFonts w:ascii="Arial" w:cs="Arial" w:eastAsia="Arial" w:hAnsi="Arial"/>
          <w:color w:val="22303C"/>
          <w:sz w:val="21"/>
          <w:szCs w:val="21"/>
        </w:rPr>
        <w:t xml:space="preserve">Reclassification scrambles when thresholds move</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CLASSIFICATION FILE</w:t>
      </w:r>
    </w:p>
    <w:p>
      <w:pPr>
        <w:spacing w:after="160" w:line="288"/>
      </w:pPr>
      <w:r>
        <w:rPr>
          <w:rFonts w:ascii="Arial" w:cs="Arial" w:eastAsia="Arial" w:hAnsi="Arial"/>
          <w:color w:val="4A5A6A"/>
          <w:sz w:val="20"/>
          <w:szCs w:val="20"/>
        </w:rPr>
        <w:t xml:space="preserve">Exemption requires passing all three tests — salary basis, salary level, and duties. Title and payroll status prove nothing. Complete one file per position, not per person.</w:t>
      </w:r>
    </w:p>
    <w:p>
      <w:pPr>
        <w:keepNext/>
        <w:spacing w:after="100" w:before="220"/>
      </w:pPr>
      <w:r>
        <w:rPr>
          <w:rFonts w:ascii="Arial" w:cs="Arial" w:eastAsia="Arial" w:hAnsi="Arial"/>
          <w:b/>
          <w:bCs/>
          <w:color w:val="1B3A52"/>
          <w:sz w:val="22"/>
          <w:szCs w:val="22"/>
        </w:rPr>
        <w:t xml:space="preserve">Part 1 — Position Snapshot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Position title and department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Incumbent(s) and supervisor</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Current salary / salary range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Claimed exemption (executive, administrative, professional, computer, outside sales, HCE)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Job description last updated (attach it)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 — Salary Basis Test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Met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Salary basis element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Predetermined salary paid regardless of quantity or quality of work</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No deductions for partial-day absences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No deductions for variations in workload or business slowdowns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Any deductions taken fit the permitted list (full-day personal absences, certain disciplinary suspensions, FMLA)</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 safe-harbor policy exists for improper deduction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 — Salary Level Test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Current DOL minimum salary threshold (verify — it changes)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This position's salary vs. the threshold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Highly compensated employee threshold, if HCE exemption claimed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Date threshold last checked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 — Duties Test (the one that fails)</w:t>
      </w:r>
    </w:p>
    <w:p>
      <w:pPr>
        <w:spacing w:after="120" w:line="288"/>
      </w:pPr>
      <w:r>
        <w:rPr>
          <w:rFonts w:ascii="Arial" w:cs="Arial" w:eastAsia="Arial" w:hAnsi="Arial"/>
          <w:color w:val="4A5A6A"/>
          <w:sz w:val="20"/>
          <w:szCs w:val="20"/>
        </w:rPr>
        <w:t xml:space="preserve">Answer from what the person actually does all week — not the job description's aspirations. Estimate real time percentages.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64"/>
        <w:gridCol w:w="6048"/>
        <w:gridCol w:w="1568"/>
      </w:tblGrid>
      <w:tr>
        <w:trPr>
          <w:tblHeader/>
        </w:trPr>
        <w:tc>
          <w:tcPr>
            <w:tcW w:type="dxa" w:w="246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Exemption</w:t>
            </w:r>
          </w:p>
        </w:tc>
        <w:tc>
          <w:tcPr>
            <w:tcW w:type="dxa" w:w="6048"/>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Core requirements</w:t>
            </w:r>
          </w:p>
        </w:tc>
        <w:tc>
          <w:tcPr>
            <w:tcW w:type="dxa" w:w="1568"/>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Met?</w:t>
            </w:r>
          </w:p>
        </w:tc>
      </w:tr>
      <w:tr>
        <w:tc>
          <w:tcPr>
            <w:tcW w:type="dxa" w:w="246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Executive</w:t>
            </w:r>
          </w:p>
        </w:tc>
        <w:tc>
          <w:tcPr>
            <w:tcW w:type="dxa" w:w="604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Primary duty is management; regularly directs 2+ FTEs; authority or real influence over hiring/firing</w:t>
            </w:r>
          </w:p>
        </w:tc>
        <w:tc>
          <w:tcPr>
            <w:tcW w:type="dxa" w:w="156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46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Administrative</w:t>
            </w:r>
          </w:p>
        </w:tc>
        <w:tc>
          <w:tcPr>
            <w:tcW w:type="dxa" w:w="604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Office/non-manual work directly related to management or general business operations; exercises discretion and independent judgment on significant matters</w:t>
            </w:r>
          </w:p>
        </w:tc>
        <w:tc>
          <w:tcPr>
            <w:tcW w:type="dxa" w:w="156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46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Professional</w:t>
            </w:r>
          </w:p>
        </w:tc>
        <w:tc>
          <w:tcPr>
            <w:tcW w:type="dxa" w:w="604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Advanced knowledge in a field of science or learning, from prolonged specialized instruction; or recognized creative talent</w:t>
            </w:r>
          </w:p>
        </w:tc>
        <w:tc>
          <w:tcPr>
            <w:tcW w:type="dxa" w:w="156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46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Computer</w:t>
            </w:r>
          </w:p>
        </w:tc>
        <w:tc>
          <w:tcPr>
            <w:tcW w:type="dxa" w:w="604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Systems analysis, design, development at the required skill level (not help desk/support)</w:t>
            </w:r>
          </w:p>
        </w:tc>
        <w:tc>
          <w:tcPr>
            <w:tcW w:type="dxa" w:w="156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46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Outside sales</w:t>
            </w:r>
          </w:p>
        </w:tc>
        <w:tc>
          <w:tcPr>
            <w:tcW w:type="dxa" w:w="604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Primary duty is sales, customarily and regularly away from the employer's place of business</w:t>
            </w:r>
          </w:p>
        </w:tc>
        <w:tc>
          <w:tcPr>
            <w:tcW w:type="dxa" w:w="156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4a — Duties Evidence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Primary duty in one sentence (what the role exists to do)</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 of week on exempt-level duties vs. production/routine work</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For executive: who do they supervise, and what hiring/firing input is documented?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For administrative: name three significant decisions made without approval</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Duties confirmed with (incumbent / supervisor / observation)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5 — Comparison and Consistency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Checked</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Consistency question</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Findings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Do others with the same duties carry the same classification?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Does the job description match the duties evidence above? (Update whichever is wrong)</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Do nonexempt employees perform materially the same work?</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Texas note: no state overtime law beyond FLSA, but municipal/public-sector rules may differ — verified?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6 — Decision and Review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Classification decision (exempt under ___ / nonexempt)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Decided by (manager + HR approval)</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Effective date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Next review date (annually, and at any threshold change or duty shift)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If reclassifying: transition plan owner (timekeeping, OT budget, communication)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Prepared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Manager</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HR approval</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An exempt 'manager' spends most of the week doing the same work as their crew.</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Partial-day salary docking is happening anywhere.</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salary threshold moved and no one re-checked the marginal positions.</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Exempt classification was assigned because the employee 'wanted salary.'</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same job is exempt in one department and nonexempt in another.</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An exempt employee is tracking hours 'informally' and grumbling about unpaid overtime.</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Classifying by title or salary alone — the duties test decides, and it's the one nobody documents.</w:t>
      </w:r>
    </w:p>
    <w:p>
      <w:pPr>
        <w:pStyle w:val="ListParagraph"/>
        <w:numPr>
          <w:ilvl w:val="0"/>
          <w:numId w:val="3"/>
        </w:numPr>
        <w:spacing w:after="90" w:line="288"/>
      </w:pPr>
      <w:r>
        <w:rPr>
          <w:rFonts w:ascii="Arial" w:cs="Arial" w:eastAsia="Arial" w:hAnsi="Arial"/>
          <w:color w:val="22303C"/>
          <w:sz w:val="21"/>
          <w:szCs w:val="21"/>
        </w:rPr>
        <w:t xml:space="preserve">Confusing 'paid a salary' with 'exempt from overtime.'</w:t>
      </w:r>
    </w:p>
    <w:p>
      <w:pPr>
        <w:pStyle w:val="ListParagraph"/>
        <w:numPr>
          <w:ilvl w:val="0"/>
          <w:numId w:val="3"/>
        </w:numPr>
        <w:spacing w:after="90" w:line="288"/>
      </w:pPr>
      <w:r>
        <w:rPr>
          <w:rFonts w:ascii="Arial" w:cs="Arial" w:eastAsia="Arial" w:hAnsi="Arial"/>
          <w:color w:val="22303C"/>
          <w:sz w:val="21"/>
          <w:szCs w:val="21"/>
        </w:rPr>
        <w:t xml:space="preserve">Counting a working foreman's incidental oversight as 'management' as a primary duty.</w:t>
      </w:r>
    </w:p>
    <w:p>
      <w:pPr>
        <w:pStyle w:val="ListParagraph"/>
        <w:numPr>
          <w:ilvl w:val="0"/>
          <w:numId w:val="3"/>
        </w:numPr>
        <w:spacing w:after="90" w:line="288"/>
      </w:pPr>
      <w:r>
        <w:rPr>
          <w:rFonts w:ascii="Arial" w:cs="Arial" w:eastAsia="Arial" w:hAnsi="Arial"/>
          <w:color w:val="22303C"/>
          <w:sz w:val="21"/>
          <w:szCs w:val="21"/>
        </w:rPr>
        <w:t xml:space="preserve">Stretching 'administrative' to cover skilled production work without independent judgment on significant matters.</w:t>
      </w:r>
    </w:p>
    <w:p>
      <w:pPr>
        <w:pStyle w:val="ListParagraph"/>
        <w:numPr>
          <w:ilvl w:val="0"/>
          <w:numId w:val="3"/>
        </w:numPr>
        <w:spacing w:after="90" w:line="288"/>
      </w:pPr>
      <w:r>
        <w:rPr>
          <w:rFonts w:ascii="Arial" w:cs="Arial" w:eastAsia="Arial" w:hAnsi="Arial"/>
          <w:color w:val="22303C"/>
          <w:sz w:val="21"/>
          <w:szCs w:val="21"/>
        </w:rPr>
        <w:t xml:space="preserve">Never re-reviewing after duties drift or thresholds change.</w:t>
      </w:r>
    </w:p>
    <w:p>
      <w:pPr>
        <w:pStyle w:val="ListParagraph"/>
        <w:numPr>
          <w:ilvl w:val="0"/>
          <w:numId w:val="3"/>
        </w:numPr>
        <w:spacing w:after="90" w:line="288"/>
      </w:pPr>
      <w:r>
        <w:rPr>
          <w:rFonts w:ascii="Arial" w:cs="Arial" w:eastAsia="Arial" w:hAnsi="Arial"/>
          <w:color w:val="22303C"/>
          <w:sz w:val="21"/>
          <w:szCs w:val="21"/>
        </w:rPr>
        <w:t xml:space="preserve">Reclassifying abruptly with no communication plan, converting a fix into a morale event and an invitation to look backward.</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File one completed classification file per exempt position and calendar the annual review. For any position that failed a test, quantify the look-back exposure before acting, then plan the reclassification carefully — timing, communication, and correction strategy deserve as much thought as the classification itself.</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Exemption Classification File | Version 2026.1 | 210.446.8730 | thomas@faulknerhrsolutions.info | faulknerhrsolutions.info/resources/exempt-vs-nonexempt-classification-file/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COMPENSATION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 vs. Nonexempt Classification File</dc:title>
  <dc:creator>Faulkner HR Solutions</dc:creator>
  <dc:description>Build a defensible exemption file per position: salary basis, salary level, duties test, and a review date — before the DOL builds theirs.</dc:description>
  <cp:lastModifiedBy>Un-named</cp:lastModifiedBy>
  <cp:revision>1</cp:revision>
  <dcterms:created xsi:type="dcterms:W3CDTF">2026-07-04T08:16:05.952Z</dcterms:created>
  <dcterms:modified xsi:type="dcterms:W3CDTF">2026-07-04T08:16:05.952Z</dcterms:modified>
</cp:coreProperties>
</file>

<file path=docProps/custom.xml><?xml version="1.0" encoding="utf-8"?>
<Properties xmlns="http://schemas.openxmlformats.org/officeDocument/2006/custom-properties" xmlns:vt="http://schemas.openxmlformats.org/officeDocument/2006/docPropsVTypes"/>
</file>