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REPORTING READINESS CHECKLIST  |  JURISDICTION: FEDERAL  |  VERSION 2026.1</w:t>
      </w:r>
    </w:p>
    <w:p>
      <w:pPr>
        <w:spacing w:after="120"/>
      </w:pPr>
      <w:r>
        <w:rPr>
          <w:rFonts w:ascii="Arial" w:cs="Arial" w:eastAsia="Arial" w:hAnsi="Arial"/>
          <w:b/>
          <w:bCs/>
          <w:color w:val="1B3A52"/>
          <w:sz w:val="44"/>
          <w:szCs w:val="44"/>
        </w:rPr>
        <w:t xml:space="preserve">EEO-1 / EEO-4 Data Readiness Checklist</w:t>
      </w:r>
    </w:p>
    <w:p>
      <w:pPr>
        <w:spacing w:after="200" w:line="300"/>
      </w:pPr>
      <w:r>
        <w:rPr>
          <w:rFonts w:ascii="Arial" w:cs="Arial" w:eastAsia="Arial" w:hAnsi="Arial"/>
          <w:i/>
          <w:iCs/>
          <w:color w:val="4A5A6A"/>
          <w:sz w:val="22"/>
          <w:szCs w:val="22"/>
        </w:rPr>
        <w:t xml:space="preserve">Know whether you must file, get the demographic data clean, and assign an owner — before the portal opens.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checklist to determine EEO-1 (private) or EEO-4 (state/local government) filing obligations, assemble accurate employee demographic data by job category, and assign ownership before the filing window opens.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headcount approaches 100 employees (or 50 with federal contracts)</w:t>
      </w:r>
    </w:p>
    <w:p>
      <w:pPr>
        <w:pStyle w:val="ListParagraph"/>
        <w:numPr>
          <w:ilvl w:val="0"/>
          <w:numId w:val="2"/>
        </w:numPr>
        <w:spacing w:after="80" w:line="288"/>
      </w:pPr>
      <w:r>
        <w:rPr>
          <w:rFonts w:ascii="Arial" w:cs="Arial" w:eastAsia="Arial" w:hAnsi="Arial"/>
          <w:color w:val="22303C"/>
          <w:sz w:val="21"/>
          <w:szCs w:val="21"/>
        </w:rPr>
        <w:t xml:space="preserve">At the start of each filing cycle, before the portal opens</w:t>
      </w:r>
    </w:p>
    <w:p>
      <w:pPr>
        <w:pStyle w:val="ListParagraph"/>
        <w:numPr>
          <w:ilvl w:val="0"/>
          <w:numId w:val="2"/>
        </w:numPr>
        <w:spacing w:after="80" w:line="288"/>
      </w:pPr>
      <w:r>
        <w:rPr>
          <w:rFonts w:ascii="Arial" w:cs="Arial" w:eastAsia="Arial" w:hAnsi="Arial"/>
          <w:color w:val="22303C"/>
          <w:sz w:val="21"/>
          <w:szCs w:val="21"/>
        </w:rPr>
        <w:t xml:space="preserve">After a merger, acquisition, or rapid growth changes obligations</w:t>
      </w:r>
    </w:p>
    <w:p>
      <w:pPr>
        <w:pStyle w:val="ListParagraph"/>
        <w:numPr>
          <w:ilvl w:val="0"/>
          <w:numId w:val="2"/>
        </w:numPr>
        <w:spacing w:after="80" w:line="288"/>
      </w:pPr>
      <w:r>
        <w:rPr>
          <w:rFonts w:ascii="Arial" w:cs="Arial" w:eastAsia="Arial" w:hAnsi="Arial"/>
          <w:color w:val="22303C"/>
          <w:sz w:val="21"/>
          <w:szCs w:val="21"/>
        </w:rPr>
        <w:t xml:space="preserve">For governments: in even-numbered EEO-4 filing years</w:t>
      </w:r>
    </w:p>
    <w:p>
      <w:pPr>
        <w:pStyle w:val="ListParagraph"/>
        <w:numPr>
          <w:ilvl w:val="0"/>
          <w:numId w:val="2"/>
        </w:numPr>
        <w:spacing w:after="80" w:line="288"/>
      </w:pPr>
      <w:r>
        <w:rPr>
          <w:rFonts w:ascii="Arial" w:cs="Arial" w:eastAsia="Arial" w:hAnsi="Arial"/>
          <w:color w:val="22303C"/>
          <w:sz w:val="21"/>
          <w:szCs w:val="21"/>
        </w:rPr>
        <w:t xml:space="preserve">When no one can say who filed last time, or whether anyone did</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Missed filings discovered during contract bids or litigation</w:t>
      </w:r>
    </w:p>
    <w:p>
      <w:pPr>
        <w:pStyle w:val="ListParagraph"/>
        <w:numPr>
          <w:ilvl w:val="0"/>
          <w:numId w:val="2"/>
        </w:numPr>
        <w:spacing w:after="80" w:line="288"/>
      </w:pPr>
      <w:r>
        <w:rPr>
          <w:rFonts w:ascii="Arial" w:cs="Arial" w:eastAsia="Arial" w:hAnsi="Arial"/>
          <w:color w:val="22303C"/>
          <w:sz w:val="21"/>
          <w:szCs w:val="21"/>
        </w:rPr>
        <w:t xml:space="preserve">Race/ethnicity data assembled by manager guesswork</w:t>
      </w:r>
    </w:p>
    <w:p>
      <w:pPr>
        <w:pStyle w:val="ListParagraph"/>
        <w:numPr>
          <w:ilvl w:val="0"/>
          <w:numId w:val="2"/>
        </w:numPr>
        <w:spacing w:after="80" w:line="288"/>
      </w:pPr>
      <w:r>
        <w:rPr>
          <w:rFonts w:ascii="Arial" w:cs="Arial" w:eastAsia="Arial" w:hAnsi="Arial"/>
          <w:color w:val="22303C"/>
          <w:sz w:val="21"/>
          <w:szCs w:val="21"/>
        </w:rPr>
        <w:t xml:space="preserve">Job categories mapped by title instead of actual duties</w:t>
      </w:r>
    </w:p>
    <w:p>
      <w:pPr>
        <w:pStyle w:val="ListParagraph"/>
        <w:numPr>
          <w:ilvl w:val="0"/>
          <w:numId w:val="2"/>
        </w:numPr>
        <w:spacing w:after="80" w:line="288"/>
      </w:pPr>
      <w:r>
        <w:rPr>
          <w:rFonts w:ascii="Arial" w:cs="Arial" w:eastAsia="Arial" w:hAnsi="Arial"/>
          <w:color w:val="22303C"/>
          <w:sz w:val="21"/>
          <w:szCs w:val="21"/>
        </w:rPr>
        <w:t xml:space="preserve">Workforce snapshots pulled from the wrong pay period</w:t>
      </w:r>
    </w:p>
    <w:p>
      <w:pPr>
        <w:pStyle w:val="ListParagraph"/>
        <w:numPr>
          <w:ilvl w:val="0"/>
          <w:numId w:val="2"/>
        </w:numPr>
        <w:spacing w:after="80" w:line="288"/>
      </w:pPr>
      <w:r>
        <w:rPr>
          <w:rFonts w:ascii="Arial" w:cs="Arial" w:eastAsia="Arial" w:hAnsi="Arial"/>
          <w:color w:val="22303C"/>
          <w:sz w:val="21"/>
          <w:szCs w:val="21"/>
        </w:rPr>
        <w:t xml:space="preserve">A compliance obligation that lives in nobody's job description</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DATA READINESS CHECKLIST</w:t>
      </w:r>
    </w:p>
    <w:p>
      <w:pPr>
        <w:spacing w:after="160" w:line="288"/>
      </w:pPr>
      <w:r>
        <w:rPr>
          <w:rFonts w:ascii="Arial" w:cs="Arial" w:eastAsia="Arial" w:hAnsi="Arial"/>
          <w:color w:val="4A5A6A"/>
          <w:sz w:val="20"/>
          <w:szCs w:val="20"/>
        </w:rPr>
        <w:t xml:space="preserve">The filing itself is simple; the data behind it is where employers fail. Confirm the obligation, clean the data, and name an owner — in that order.</w:t>
      </w:r>
    </w:p>
    <w:p>
      <w:pPr>
        <w:keepNext/>
        <w:spacing w:after="100" w:before="220"/>
      </w:pPr>
      <w:r>
        <w:rPr>
          <w:rFonts w:ascii="Arial" w:cs="Arial" w:eastAsia="Arial" w:hAnsi="Arial"/>
          <w:b/>
          <w:bCs/>
          <w:color w:val="1B3A52"/>
          <w:sz w:val="22"/>
          <w:szCs w:val="22"/>
        </w:rPr>
        <w:t xml:space="preserve">Part 1 — Filing Obligation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12"/>
        <w:gridCol w:w="5040"/>
        <w:gridCol w:w="1008"/>
        <w:gridCol w:w="2420"/>
      </w:tblGrid>
      <w:tr>
        <w:trPr>
          <w:tblHeader/>
        </w:trPr>
        <w:tc>
          <w:tcPr>
            <w:tcW w:type="dxa" w:w="161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Report</w:t>
            </w:r>
          </w:p>
        </w:tc>
        <w:tc>
          <w:tcPr>
            <w:tcW w:type="dxa" w:w="504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Who must file</w:t>
            </w:r>
          </w:p>
        </w:tc>
        <w:tc>
          <w:tcPr>
            <w:tcW w:type="dxa" w:w="100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Applies?</w:t>
            </w:r>
          </w:p>
        </w:tc>
        <w:tc>
          <w:tcPr>
            <w:tcW w:type="dxa" w:w="24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EEO-1</w:t>
            </w:r>
          </w:p>
        </w:tc>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Private employers with 100+ employees; federal contractors with 50+ employees and a qualifying contract</w:t>
            </w:r>
          </w:p>
        </w:tc>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EEO-4</w:t>
            </w:r>
          </w:p>
        </w:tc>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State and local governments with 100+ full-time employees (biennial, odd-year data)</w:t>
            </w:r>
          </w:p>
        </w:tc>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EEO-3 / EEO-5</w:t>
            </w:r>
          </w:p>
        </w:tc>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Local unions / public school districts meeting thresholds</w:t>
            </w:r>
          </w:p>
        </w:tc>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Snapshot and Counts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Count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Workforce snapshot period selected per current instructions (EEO-1: a pay period in Q4)</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All employees counted — full-time and part-time — as instructions require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Multi-establishment structure mapped (headquarters + each location's reports)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Counts reconciled against payroll, not the org chart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Job Category Mapping</w:t>
      </w:r>
    </w:p>
    <w:p>
      <w:pPr>
        <w:spacing w:after="120" w:line="288"/>
      </w:pPr>
      <w:r>
        <w:rPr>
          <w:rFonts w:ascii="Arial" w:cs="Arial" w:eastAsia="Arial" w:hAnsi="Arial"/>
          <w:color w:val="4A5A6A"/>
          <w:sz w:val="20"/>
          <w:szCs w:val="20"/>
        </w:rPr>
        <w:t xml:space="preserve">Map by actual duties, not title inflation. 'Manager' who manages no one is not Officials &amp; Managers.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584"/>
        <w:gridCol w:w="5376"/>
        <w:gridCol w:w="1120"/>
      </w:tblGrid>
      <w:tr>
        <w:trPr>
          <w:tblHeader/>
        </w:trPr>
        <w:tc>
          <w:tcPr>
            <w:tcW w:type="dxa" w:w="358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EEO category</w:t>
            </w:r>
          </w:p>
        </w:tc>
        <w:tc>
          <w:tcPr>
            <w:tcW w:type="dxa" w:w="537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roles mapped to it</w:t>
            </w:r>
          </w:p>
        </w:tc>
        <w:tc>
          <w:tcPr>
            <w:tcW w:type="dxa" w:w="11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Verified</w:t>
            </w:r>
          </w:p>
        </w:tc>
      </w:tr>
      <w:tr>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Officials &amp; Managers (Exec/Senior + First/Mid for EEO-1)</w:t>
            </w:r>
          </w:p>
        </w:tc>
        <w:tc>
          <w:tcPr>
            <w:tcW w:type="dxa" w:w="5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Professionals</w:t>
            </w:r>
          </w:p>
        </w:tc>
        <w:tc>
          <w:tcPr>
            <w:tcW w:type="dxa" w:w="5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Technicians</w:t>
            </w:r>
          </w:p>
        </w:tc>
        <w:tc>
          <w:tcPr>
            <w:tcW w:type="dxa" w:w="5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Sales Workers / Protective Service (EEO-4)</w:t>
            </w:r>
          </w:p>
        </w:tc>
        <w:tc>
          <w:tcPr>
            <w:tcW w:type="dxa" w:w="5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Administrative Support</w:t>
            </w:r>
          </w:p>
        </w:tc>
        <w:tc>
          <w:tcPr>
            <w:tcW w:type="dxa" w:w="5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Craft Workers</w:t>
            </w:r>
          </w:p>
        </w:tc>
        <w:tc>
          <w:tcPr>
            <w:tcW w:type="dxa" w:w="5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Operatives / Laborers / Service Workers</w:t>
            </w:r>
          </w:p>
        </w:tc>
        <w:tc>
          <w:tcPr>
            <w:tcW w:type="dxa" w:w="5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Demographic Data Quality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Data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Self-identification is the preferred source — invitation sent with a clear voluntary statement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Self-ID form offers the current race/ethnicity categories and binary sex categories the form requires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Visual identification used only where self-ID is declined (document that it was)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Data stored confidentially, separate from managers' day-to-day view</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New hires since last cycle have self-ID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EEO-4 only: salary band and full-time/part-time status data ready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Ownership and Filing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Report owner (name and role)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Backup owner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Portal credentials location (and who controls them)</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Filing deadline this cycle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Date filed and confirmation number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Copy of filed report stored at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Data prepared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Certified / filed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You hold federal contracts and cannot produce your last EEO-1 confirmation.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Race/ethnicity fields in the HRIS are blank for a third of the workforce.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Job categories were copied from a decade-old spreadsheet no one has re-verified.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person who 'always did this' left, along with the portal login.</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Headcount crossed 100 two years ago and nobody noticed the obligation began.</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Assuming EEO-1 data is anonymous to litigation — filed reports are discoverable and comparable year over year.</w:t>
      </w:r>
    </w:p>
    <w:p>
      <w:pPr>
        <w:pStyle w:val="ListParagraph"/>
        <w:numPr>
          <w:ilvl w:val="0"/>
          <w:numId w:val="3"/>
        </w:numPr>
        <w:spacing w:after="90" w:line="288"/>
      </w:pPr>
      <w:r>
        <w:rPr>
          <w:rFonts w:ascii="Arial" w:cs="Arial" w:eastAsia="Arial" w:hAnsi="Arial"/>
          <w:color w:val="22303C"/>
          <w:sz w:val="21"/>
          <w:szCs w:val="21"/>
        </w:rPr>
        <w:t xml:space="preserve">Guessing demographics instead of running a proper self-ID campaign.</w:t>
      </w:r>
    </w:p>
    <w:p>
      <w:pPr>
        <w:pStyle w:val="ListParagraph"/>
        <w:numPr>
          <w:ilvl w:val="0"/>
          <w:numId w:val="3"/>
        </w:numPr>
        <w:spacing w:after="90" w:line="288"/>
      </w:pPr>
      <w:r>
        <w:rPr>
          <w:rFonts w:ascii="Arial" w:cs="Arial" w:eastAsia="Arial" w:hAnsi="Arial"/>
          <w:color w:val="22303C"/>
          <w:sz w:val="21"/>
          <w:szCs w:val="21"/>
        </w:rPr>
        <w:t xml:space="preserve">Mapping every 'lead' and 'coordinator' into Officials &amp; Managers.</w:t>
      </w:r>
    </w:p>
    <w:p>
      <w:pPr>
        <w:pStyle w:val="ListParagraph"/>
        <w:numPr>
          <w:ilvl w:val="0"/>
          <w:numId w:val="3"/>
        </w:numPr>
        <w:spacing w:after="90" w:line="288"/>
      </w:pPr>
      <w:r>
        <w:rPr>
          <w:rFonts w:ascii="Arial" w:cs="Arial" w:eastAsia="Arial" w:hAnsi="Arial"/>
          <w:color w:val="22303C"/>
          <w:sz w:val="21"/>
          <w:szCs w:val="21"/>
        </w:rPr>
        <w:t xml:space="preserve">Using a January pay period for a snapshot the instructions define as Q4.</w:t>
      </w:r>
    </w:p>
    <w:p>
      <w:pPr>
        <w:pStyle w:val="ListParagraph"/>
        <w:numPr>
          <w:ilvl w:val="0"/>
          <w:numId w:val="3"/>
        </w:numPr>
        <w:spacing w:after="90" w:line="288"/>
      </w:pPr>
      <w:r>
        <w:rPr>
          <w:rFonts w:ascii="Arial" w:cs="Arial" w:eastAsia="Arial" w:hAnsi="Arial"/>
          <w:color w:val="22303C"/>
          <w:sz w:val="21"/>
          <w:szCs w:val="21"/>
        </w:rPr>
        <w:t xml:space="preserve">Missing that the obligation is per-establishment, not just company-wide.</w:t>
      </w:r>
    </w:p>
    <w:p>
      <w:pPr>
        <w:pStyle w:val="ListParagraph"/>
        <w:numPr>
          <w:ilvl w:val="0"/>
          <w:numId w:val="3"/>
        </w:numPr>
        <w:spacing w:after="90" w:line="288"/>
      </w:pPr>
      <w:r>
        <w:rPr>
          <w:rFonts w:ascii="Arial" w:cs="Arial" w:eastAsia="Arial" w:hAnsi="Arial"/>
          <w:color w:val="22303C"/>
          <w:sz w:val="21"/>
          <w:szCs w:val="21"/>
        </w:rPr>
        <w:t xml:space="preserve">Treating the biennial EEO-4 rhythm as 'we'll remember' — nobody remembers.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Close the data gaps found here, run the self-ID campaign for missing demographics, calendar the filing window, and file. Keep the confirmation with this checklist — the next question after 'did you file' is always 'prove it.'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EEO-1 / EEO-4 Readiness | Version 2026.1 | 210.446.8730 | thomas@faulknerhrsolutions.info | faulknerhrsolutions.info/resources/eeo-1-eeo-4-data-readiness-checklist/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EEO-1 / EEO-4 Data Readiness Checklist</dc:title>
  <dc:creator>Faulkner HR Solutions</dc:creator>
  <dc:description>Know whether you must file, get the demographic data clean, and assign an owner — before the portal opens.</dc:description>
  <cp:lastModifiedBy>Un-named</cp:lastModifiedBy>
  <cp:revision>1</cp:revision>
  <dcterms:created xsi:type="dcterms:W3CDTF">2026-07-04T08:16:05.718Z</dcterms:created>
  <dcterms:modified xsi:type="dcterms:W3CDTF">2026-07-04T08:16:05.718Z</dcterms:modified>
</cp:coreProperties>
</file>

<file path=docProps/custom.xml><?xml version="1.0" encoding="utf-8"?>
<Properties xmlns="http://schemas.openxmlformats.org/officeDocument/2006/custom-properties" xmlns:vt="http://schemas.openxmlformats.org/officeDocument/2006/docPropsVTypes"/>
</file>